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C9" w:rsidRPr="00B649C9" w:rsidRDefault="001D26F3" w:rsidP="00B649C9">
      <w:pPr>
        <w:jc w:val="center"/>
        <w:rPr>
          <w:b/>
          <w:sz w:val="28"/>
          <w:szCs w:val="28"/>
        </w:rPr>
      </w:pPr>
      <w:r w:rsidRPr="00B649C9">
        <w:rPr>
          <w:b/>
          <w:sz w:val="28"/>
          <w:szCs w:val="28"/>
        </w:rPr>
        <w:t>21 Mart 2018 tarih 30367 sayılı Resmi Gazetede yayınlanan ve</w:t>
      </w:r>
    </w:p>
    <w:p w:rsidR="00B649C9" w:rsidRDefault="001D26F3" w:rsidP="00B649C9">
      <w:pPr>
        <w:jc w:val="center"/>
        <w:rPr>
          <w:b/>
          <w:sz w:val="28"/>
          <w:szCs w:val="28"/>
        </w:rPr>
      </w:pPr>
      <w:r w:rsidRPr="00B649C9">
        <w:rPr>
          <w:b/>
          <w:sz w:val="28"/>
          <w:szCs w:val="28"/>
          <w:u w:val="single"/>
        </w:rPr>
        <w:t>31 Mart 2018 tarihi itibariyle geçerli</w:t>
      </w:r>
      <w:r w:rsidRPr="00B649C9">
        <w:rPr>
          <w:b/>
          <w:sz w:val="28"/>
          <w:szCs w:val="28"/>
        </w:rPr>
        <w:t xml:space="preserve"> olacak olan </w:t>
      </w:r>
    </w:p>
    <w:p w:rsidR="00547193" w:rsidRPr="00B649C9" w:rsidRDefault="001D26F3" w:rsidP="00B649C9">
      <w:pPr>
        <w:jc w:val="center"/>
        <w:rPr>
          <w:b/>
          <w:sz w:val="28"/>
          <w:szCs w:val="28"/>
        </w:rPr>
      </w:pPr>
      <w:r w:rsidRPr="00B649C9">
        <w:rPr>
          <w:b/>
          <w:sz w:val="28"/>
          <w:szCs w:val="28"/>
        </w:rPr>
        <w:t xml:space="preserve">SUT değişikliği için </w:t>
      </w:r>
      <w:r w:rsidR="008B0F84" w:rsidRPr="00B649C9">
        <w:rPr>
          <w:b/>
          <w:sz w:val="28"/>
          <w:szCs w:val="28"/>
        </w:rPr>
        <w:t>aşağıdaki durumlara dikkat edilmesi gerekmektedir.</w:t>
      </w:r>
    </w:p>
    <w:p w:rsidR="008B0F84" w:rsidRDefault="008B0F84"/>
    <w:p w:rsidR="007C3115" w:rsidRPr="00957401" w:rsidRDefault="007C3115">
      <w:pPr>
        <w:rPr>
          <w:b/>
        </w:rPr>
      </w:pPr>
      <w:r w:rsidRPr="00957401">
        <w:rPr>
          <w:b/>
        </w:rPr>
        <w:t>4.2.1.C -1 ‘Anti-TNF ilaçlar’ maddesinde</w:t>
      </w:r>
      <w:r w:rsidR="00B106D3" w:rsidRPr="00957401">
        <w:rPr>
          <w:b/>
        </w:rPr>
        <w:t xml:space="preserve"> yapılan değişikliklere göre;</w:t>
      </w:r>
    </w:p>
    <w:p w:rsidR="00B106D3" w:rsidRDefault="00B106D3">
      <w:r>
        <w:t xml:space="preserve">(1) Erişkin ve </w:t>
      </w:r>
      <w:proofErr w:type="spellStart"/>
      <w:r>
        <w:t>juvenil</w:t>
      </w:r>
      <w:proofErr w:type="spellEnd"/>
      <w:r>
        <w:t xml:space="preserve"> </w:t>
      </w:r>
      <w:proofErr w:type="spellStart"/>
      <w:r>
        <w:t>romatoid</w:t>
      </w:r>
      <w:proofErr w:type="spellEnd"/>
      <w:r>
        <w:t xml:space="preserve"> </w:t>
      </w:r>
      <w:proofErr w:type="spellStart"/>
      <w:r>
        <w:t>artirit</w:t>
      </w:r>
      <w:proofErr w:type="spellEnd"/>
      <w:r>
        <w:t>,</w:t>
      </w:r>
    </w:p>
    <w:p w:rsidR="00B106D3" w:rsidRDefault="00B106D3">
      <w:r>
        <w:t xml:space="preserve">b) </w:t>
      </w:r>
      <w:proofErr w:type="spellStart"/>
      <w:r>
        <w:t>Juvenil</w:t>
      </w:r>
      <w:proofErr w:type="spellEnd"/>
      <w:r>
        <w:t xml:space="preserve"> </w:t>
      </w:r>
      <w:proofErr w:type="spellStart"/>
      <w:r>
        <w:t>romatoid</w:t>
      </w:r>
      <w:proofErr w:type="spellEnd"/>
      <w:r>
        <w:t xml:space="preserve"> </w:t>
      </w:r>
      <w:proofErr w:type="spellStart"/>
      <w:r>
        <w:t>artiritli</w:t>
      </w:r>
      <w:proofErr w:type="spellEnd"/>
      <w:r>
        <w:t xml:space="preserve"> hastalarda,</w:t>
      </w:r>
    </w:p>
    <w:p w:rsidR="00B106D3" w:rsidRDefault="00B106D3">
      <w:pPr>
        <w:rPr>
          <w:color w:val="313534"/>
        </w:rPr>
      </w:pPr>
      <w:r>
        <w:rPr>
          <w:color w:val="313534"/>
        </w:rPr>
        <w:t>1)</w:t>
      </w:r>
      <w:r w:rsidRPr="00B106D3">
        <w:rPr>
          <w:color w:val="313534"/>
        </w:rPr>
        <w:t xml:space="preserve">NSAİ ve/veya </w:t>
      </w:r>
      <w:proofErr w:type="spellStart"/>
      <w:r w:rsidRPr="00B106D3">
        <w:rPr>
          <w:color w:val="313534"/>
        </w:rPr>
        <w:t>methotrexat</w:t>
      </w:r>
      <w:proofErr w:type="spellEnd"/>
      <w:r w:rsidRPr="00B106D3">
        <w:rPr>
          <w:color w:val="313534"/>
        </w:rPr>
        <w:t xml:space="preserve"> ile 3 aylık tedavi sonunda ACR pediatrik 30 yanıtı alınamamış ise bu durumun belirtildiği 3 ay süreli sağlık kurulu raporuna dayanılarak Anti-TNF ilaçlarla tedaviye başlanabilir.</w:t>
      </w:r>
    </w:p>
    <w:p w:rsidR="00B106D3" w:rsidRDefault="00B106D3">
      <w:pPr>
        <w:rPr>
          <w:color w:val="313534"/>
        </w:rPr>
      </w:pPr>
      <w:proofErr w:type="gramStart"/>
      <w:r>
        <w:rPr>
          <w:color w:val="313534"/>
        </w:rPr>
        <w:t>2)</w:t>
      </w:r>
      <w:r w:rsidR="00A50553">
        <w:rPr>
          <w:color w:val="313534"/>
        </w:rPr>
        <w:t xml:space="preserve"> </w:t>
      </w:r>
      <w:proofErr w:type="spellStart"/>
      <w:r w:rsidR="00A50553">
        <w:rPr>
          <w:color w:val="313534"/>
        </w:rPr>
        <w:t>Adalimumabın</w:t>
      </w:r>
      <w:proofErr w:type="spellEnd"/>
      <w:r w:rsidR="00A50553">
        <w:rPr>
          <w:color w:val="313534"/>
        </w:rPr>
        <w:t xml:space="preserve"> </w:t>
      </w:r>
      <w:proofErr w:type="spellStart"/>
      <w:r w:rsidR="00A50553">
        <w:rPr>
          <w:color w:val="313534"/>
        </w:rPr>
        <w:t>flakon</w:t>
      </w:r>
      <w:proofErr w:type="spellEnd"/>
      <w:r w:rsidR="00A50553">
        <w:rPr>
          <w:color w:val="313534"/>
        </w:rPr>
        <w:t xml:space="preserve"> </w:t>
      </w:r>
      <w:r w:rsidR="00D8575C" w:rsidRPr="00D8575C">
        <w:rPr>
          <w:b/>
          <w:color w:val="313534"/>
        </w:rPr>
        <w:t>(HUMİRA)</w:t>
      </w:r>
      <w:r w:rsidR="00D8575C">
        <w:rPr>
          <w:color w:val="313534"/>
        </w:rPr>
        <w:t xml:space="preserve"> </w:t>
      </w:r>
      <w:r w:rsidR="00A50553">
        <w:rPr>
          <w:color w:val="313534"/>
        </w:rPr>
        <w:t xml:space="preserve">formunun yalnızca, bir veya daha fazla hastalık </w:t>
      </w:r>
      <w:proofErr w:type="spellStart"/>
      <w:r w:rsidR="00A50553">
        <w:rPr>
          <w:color w:val="313534"/>
        </w:rPr>
        <w:t>modifiye</w:t>
      </w:r>
      <w:proofErr w:type="spellEnd"/>
      <w:r w:rsidR="00A50553">
        <w:rPr>
          <w:color w:val="313534"/>
        </w:rPr>
        <w:t xml:space="preserve"> edici anti-</w:t>
      </w:r>
      <w:proofErr w:type="spellStart"/>
      <w:r w:rsidR="00A50553">
        <w:rPr>
          <w:color w:val="313534"/>
        </w:rPr>
        <w:t>romatizmal</w:t>
      </w:r>
      <w:proofErr w:type="spellEnd"/>
      <w:r w:rsidR="00A50553">
        <w:rPr>
          <w:color w:val="313534"/>
        </w:rPr>
        <w:t xml:space="preserve"> ilacı en az 3 ay kullanmış olmasına rağmen </w:t>
      </w:r>
      <w:r w:rsidR="00A50553" w:rsidRPr="00B106D3">
        <w:rPr>
          <w:color w:val="313534"/>
        </w:rPr>
        <w:t>ACR pediatrik 30 yanıtı alınamamış</w:t>
      </w:r>
      <w:r w:rsidR="00A50553">
        <w:rPr>
          <w:color w:val="313534"/>
        </w:rPr>
        <w:t xml:space="preserve"> olan </w:t>
      </w:r>
      <w:proofErr w:type="spellStart"/>
      <w:r w:rsidR="00A50553">
        <w:rPr>
          <w:color w:val="313534"/>
        </w:rPr>
        <w:t>üveit</w:t>
      </w:r>
      <w:proofErr w:type="spellEnd"/>
      <w:r w:rsidR="00A50553">
        <w:rPr>
          <w:color w:val="313534"/>
        </w:rPr>
        <w:t xml:space="preserve"> eşlik eden aktif </w:t>
      </w:r>
      <w:proofErr w:type="spellStart"/>
      <w:r w:rsidR="00A50553">
        <w:rPr>
          <w:color w:val="313534"/>
        </w:rPr>
        <w:t>poliartiküler</w:t>
      </w:r>
      <w:proofErr w:type="spellEnd"/>
      <w:r w:rsidR="00A50553">
        <w:rPr>
          <w:color w:val="313534"/>
        </w:rPr>
        <w:t xml:space="preserve"> </w:t>
      </w:r>
      <w:proofErr w:type="spellStart"/>
      <w:r w:rsidR="00A50553">
        <w:rPr>
          <w:color w:val="313534"/>
        </w:rPr>
        <w:t>jüvenil</w:t>
      </w:r>
      <w:proofErr w:type="spellEnd"/>
      <w:r w:rsidR="00A50553">
        <w:rPr>
          <w:color w:val="313534"/>
        </w:rPr>
        <w:t xml:space="preserve"> </w:t>
      </w:r>
      <w:proofErr w:type="spellStart"/>
      <w:r w:rsidR="00A50553">
        <w:rPr>
          <w:color w:val="313534"/>
        </w:rPr>
        <w:t>idiyopatik</w:t>
      </w:r>
      <w:proofErr w:type="spellEnd"/>
      <w:r w:rsidR="00A50553">
        <w:rPr>
          <w:color w:val="313534"/>
        </w:rPr>
        <w:t xml:space="preserve"> </w:t>
      </w:r>
      <w:proofErr w:type="spellStart"/>
      <w:r w:rsidR="00A50553">
        <w:rPr>
          <w:color w:val="313534"/>
        </w:rPr>
        <w:t>artiritli</w:t>
      </w:r>
      <w:proofErr w:type="spellEnd"/>
      <w:r w:rsidR="00A50553">
        <w:rPr>
          <w:color w:val="313534"/>
        </w:rPr>
        <w:t xml:space="preserve"> 2-17 yaşları arası çocuk ve </w:t>
      </w:r>
      <w:proofErr w:type="spellStart"/>
      <w:r w:rsidR="00A50553">
        <w:rPr>
          <w:color w:val="313534"/>
        </w:rPr>
        <w:t>adölesan</w:t>
      </w:r>
      <w:proofErr w:type="spellEnd"/>
      <w:r w:rsidR="00A50553">
        <w:rPr>
          <w:color w:val="313534"/>
        </w:rPr>
        <w:t xml:space="preserve"> hastalarda </w:t>
      </w:r>
      <w:proofErr w:type="spellStart"/>
      <w:r w:rsidR="00A50553">
        <w:rPr>
          <w:color w:val="313534"/>
        </w:rPr>
        <w:t>methotrexat</w:t>
      </w:r>
      <w:proofErr w:type="spellEnd"/>
      <w:r w:rsidR="00A50553">
        <w:rPr>
          <w:color w:val="313534"/>
        </w:rPr>
        <w:t xml:space="preserve"> ile kombine olarak tedaviye başlanılarak kullanılması halinde bedeli kurumca karşılanır. </w:t>
      </w:r>
      <w:proofErr w:type="spellStart"/>
      <w:proofErr w:type="gramEnd"/>
      <w:r w:rsidR="00A50553">
        <w:rPr>
          <w:color w:val="313534"/>
        </w:rPr>
        <w:t>Adalimumabın</w:t>
      </w:r>
      <w:proofErr w:type="spellEnd"/>
      <w:r w:rsidR="00A50553">
        <w:rPr>
          <w:color w:val="313534"/>
        </w:rPr>
        <w:t xml:space="preserve"> </w:t>
      </w:r>
      <w:proofErr w:type="spellStart"/>
      <w:r w:rsidR="00A50553">
        <w:rPr>
          <w:color w:val="313534"/>
        </w:rPr>
        <w:t>flakon</w:t>
      </w:r>
      <w:proofErr w:type="spellEnd"/>
      <w:r w:rsidR="00A50553">
        <w:rPr>
          <w:color w:val="313534"/>
        </w:rPr>
        <w:t xml:space="preserve"> formunun </w:t>
      </w:r>
      <w:proofErr w:type="spellStart"/>
      <w:r w:rsidR="00A50553">
        <w:rPr>
          <w:color w:val="313534"/>
        </w:rPr>
        <w:t>methotrexata</w:t>
      </w:r>
      <w:proofErr w:type="spellEnd"/>
      <w:r w:rsidR="00A50553">
        <w:rPr>
          <w:color w:val="313534"/>
        </w:rPr>
        <w:t xml:space="preserve"> karşı </w:t>
      </w:r>
      <w:proofErr w:type="spellStart"/>
      <w:r w:rsidR="00A50553">
        <w:rPr>
          <w:color w:val="313534"/>
        </w:rPr>
        <w:t>intolerans</w:t>
      </w:r>
      <w:proofErr w:type="spellEnd"/>
      <w:r w:rsidR="00A50553">
        <w:rPr>
          <w:color w:val="313534"/>
        </w:rPr>
        <w:t xml:space="preserve"> gelişmesi durumunda veya </w:t>
      </w:r>
      <w:proofErr w:type="spellStart"/>
      <w:r w:rsidR="00A50553">
        <w:rPr>
          <w:color w:val="313534"/>
        </w:rPr>
        <w:t>methotrexat</w:t>
      </w:r>
      <w:proofErr w:type="spellEnd"/>
      <w:r w:rsidR="00A50553">
        <w:rPr>
          <w:color w:val="313534"/>
        </w:rPr>
        <w:t xml:space="preserve"> ile tedaviye devam edilmesinin uygun olmadığı durumlarda </w:t>
      </w:r>
      <w:proofErr w:type="spellStart"/>
      <w:r w:rsidR="00A50553">
        <w:rPr>
          <w:color w:val="313534"/>
        </w:rPr>
        <w:t>monoterapi</w:t>
      </w:r>
      <w:proofErr w:type="spellEnd"/>
      <w:r w:rsidR="00A50553">
        <w:rPr>
          <w:color w:val="313534"/>
        </w:rPr>
        <w:t xml:space="preserve"> olarak kullanılması halinde bedeli kurumca karşılanır.</w:t>
      </w:r>
    </w:p>
    <w:p w:rsidR="00B106D3" w:rsidRDefault="00B106D3">
      <w:pPr>
        <w:rPr>
          <w:color w:val="313534"/>
        </w:rPr>
      </w:pPr>
      <w:r>
        <w:rPr>
          <w:color w:val="313534"/>
        </w:rPr>
        <w:t>3)</w:t>
      </w:r>
      <w:r w:rsidRPr="00B106D3">
        <w:rPr>
          <w:color w:val="313534"/>
        </w:rPr>
        <w:t xml:space="preserve">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w:t>
      </w:r>
      <w:proofErr w:type="gramStart"/>
      <w:r w:rsidRPr="00B106D3">
        <w:rPr>
          <w:color w:val="313534"/>
        </w:rPr>
        <w:t>kriteri</w:t>
      </w:r>
      <w:proofErr w:type="gramEnd"/>
      <w:r w:rsidRPr="00B106D3">
        <w:rPr>
          <w:color w:val="313534"/>
        </w:rPr>
        <w:t xml:space="preserve"> 50 ve üzerinde olması halinde bu durumun yeni düzenlenecek 6 ay süreli sağlık kurulu raporunda belirtilmesi koşulu ile hastaların tedavisine devam edilebilir. Tedavinin devamında ACR pediatrik cevap </w:t>
      </w:r>
      <w:proofErr w:type="gramStart"/>
      <w:r w:rsidRPr="00B106D3">
        <w:rPr>
          <w:color w:val="313534"/>
        </w:rPr>
        <w:t>kriterine</w:t>
      </w:r>
      <w:proofErr w:type="gramEnd"/>
      <w:r w:rsidRPr="00B106D3">
        <w:rPr>
          <w:color w:val="313534"/>
        </w:rPr>
        <w:t xml:space="preserve"> 6 ayda bir bakılır, başlangıç ve ACR pediatrik cevap kriteri her sağlık kurulu raporunda belirtilir. Tedaviye rağmen ACR pediatrik cevap </w:t>
      </w:r>
      <w:proofErr w:type="gramStart"/>
      <w:r w:rsidRPr="00B106D3">
        <w:rPr>
          <w:color w:val="313534"/>
        </w:rPr>
        <w:t>kriteri</w:t>
      </w:r>
      <w:proofErr w:type="gramEnd"/>
      <w:r w:rsidRPr="00B106D3">
        <w:rPr>
          <w:color w:val="313534"/>
        </w:rPr>
        <w:t xml:space="preserve"> 50’ye ulaşmayan hastalarda anti-TNF tedavisine devam edilmez.</w:t>
      </w:r>
    </w:p>
    <w:p w:rsidR="008B0F84" w:rsidRDefault="00A50553">
      <w:r>
        <w:rPr>
          <w:color w:val="313534"/>
        </w:rPr>
        <w:t xml:space="preserve">(10) </w:t>
      </w:r>
      <w:proofErr w:type="spellStart"/>
      <w:r>
        <w:rPr>
          <w:color w:val="313534"/>
        </w:rPr>
        <w:t>Crohn</w:t>
      </w:r>
      <w:proofErr w:type="spellEnd"/>
      <w:r>
        <w:rPr>
          <w:color w:val="313534"/>
        </w:rPr>
        <w:t xml:space="preserve"> hastalığında </w:t>
      </w:r>
      <w:proofErr w:type="spellStart"/>
      <w:r>
        <w:rPr>
          <w:color w:val="313534"/>
        </w:rPr>
        <w:t>adalimumabın</w:t>
      </w:r>
      <w:proofErr w:type="spellEnd"/>
      <w:r>
        <w:rPr>
          <w:color w:val="313534"/>
        </w:rPr>
        <w:t xml:space="preserve"> </w:t>
      </w:r>
      <w:proofErr w:type="spellStart"/>
      <w:r>
        <w:rPr>
          <w:color w:val="313534"/>
        </w:rPr>
        <w:t>flakon</w:t>
      </w:r>
      <w:proofErr w:type="spellEnd"/>
      <w:r>
        <w:rPr>
          <w:color w:val="313534"/>
        </w:rPr>
        <w:t xml:space="preserve"> formunun kullanılması halinde bedeli kurumca karşılanmaz.</w:t>
      </w:r>
    </w:p>
    <w:p w:rsidR="00C25CEC" w:rsidRPr="00957401" w:rsidRDefault="00C25CEC">
      <w:pPr>
        <w:rPr>
          <w:b/>
        </w:rPr>
      </w:pPr>
      <w:r w:rsidRPr="00957401">
        <w:rPr>
          <w:b/>
        </w:rPr>
        <w:t>4.2.1.C-4 ‘</w:t>
      </w:r>
      <w:proofErr w:type="spellStart"/>
      <w:r w:rsidRPr="00957401">
        <w:rPr>
          <w:b/>
        </w:rPr>
        <w:t>Ustekinumab</w:t>
      </w:r>
      <w:proofErr w:type="spellEnd"/>
      <w:r w:rsidRPr="00957401">
        <w:rPr>
          <w:b/>
        </w:rPr>
        <w:t>’ maddesinde yapılan değişikliğe göre;</w:t>
      </w:r>
      <w:r w:rsidR="00D8575C">
        <w:rPr>
          <w:b/>
        </w:rPr>
        <w:t xml:space="preserve"> (STELARA)</w:t>
      </w:r>
    </w:p>
    <w:p w:rsidR="00C25CEC" w:rsidRDefault="00C25CEC">
      <w:pPr>
        <w:rPr>
          <w:color w:val="000000"/>
        </w:rPr>
      </w:pPr>
      <w:proofErr w:type="gramStart"/>
      <w:r>
        <w:t xml:space="preserve">(2) </w:t>
      </w:r>
      <w:r w:rsidR="00BD67E0" w:rsidRPr="00BD67E0">
        <w:rPr>
          <w:color w:val="000000"/>
        </w:rPr>
        <w:t xml:space="preserve">En az 3 farklı hastalık </w:t>
      </w:r>
      <w:proofErr w:type="spellStart"/>
      <w:r w:rsidR="00BD67E0" w:rsidRPr="00BD67E0">
        <w:rPr>
          <w:color w:val="000000"/>
        </w:rPr>
        <w:t>modifiye</w:t>
      </w:r>
      <w:proofErr w:type="spellEnd"/>
      <w:r w:rsidR="00BD67E0" w:rsidRPr="00BD67E0">
        <w:rPr>
          <w:color w:val="000000"/>
        </w:rPr>
        <w:t xml:space="preserve"> edici </w:t>
      </w:r>
      <w:proofErr w:type="spellStart"/>
      <w:r w:rsidR="00BD67E0" w:rsidRPr="00BD67E0">
        <w:rPr>
          <w:color w:val="000000"/>
        </w:rPr>
        <w:t>antiromatizmal</w:t>
      </w:r>
      <w:proofErr w:type="spellEnd"/>
      <w:r w:rsidR="00BD67E0" w:rsidRPr="00BD67E0">
        <w:rPr>
          <w:color w:val="000000"/>
        </w:rPr>
        <w:t xml:space="preserve"> ilacı üçer a</w:t>
      </w:r>
      <w:r w:rsidR="00BD67E0">
        <w:rPr>
          <w:color w:val="000000"/>
        </w:rPr>
        <w:t>y süre ile uygun dozda kullanmış</w:t>
      </w:r>
      <w:r w:rsidR="00BD67E0" w:rsidRPr="00BD67E0">
        <w:rPr>
          <w:color w:val="000000"/>
        </w:rPr>
        <w:t xml:space="preserve"> ve sonrasında en az bir anti-</w:t>
      </w:r>
      <w:r w:rsidR="00BD67E0">
        <w:rPr>
          <w:color w:val="000000"/>
        </w:rPr>
        <w:t>TNF ajanı 3 ay süreyle kullanmış</w:t>
      </w:r>
      <w:r w:rsidR="00BD67E0" w:rsidRPr="00BD67E0">
        <w:rPr>
          <w:color w:val="000000"/>
        </w:rPr>
        <w:t xml:space="preserve"> olmasına rağmen hastalık aktivitesinin kontrol altına alı</w:t>
      </w:r>
      <w:r w:rsidR="00BD67E0">
        <w:rPr>
          <w:color w:val="000000"/>
        </w:rPr>
        <w:t>namadığı (bir ay arayla yapılmış</w:t>
      </w:r>
      <w:r w:rsidR="00BD67E0" w:rsidRPr="00BD67E0">
        <w:rPr>
          <w:color w:val="000000"/>
        </w:rPr>
        <w:t xml:space="preserve"> iki ayrı muayenede en az</w:t>
      </w:r>
      <w:r w:rsidR="00BD67E0">
        <w:rPr>
          <w:color w:val="000000"/>
        </w:rPr>
        <w:t xml:space="preserve"> üç hassas eklem ve en az üç şiş</w:t>
      </w:r>
      <w:r w:rsidR="00BD67E0" w:rsidRPr="00BD67E0">
        <w:rPr>
          <w:color w:val="000000"/>
        </w:rPr>
        <w:t xml:space="preserve"> eklem olması</w:t>
      </w:r>
      <w:r w:rsidR="00BD67E0">
        <w:rPr>
          <w:color w:val="000000"/>
        </w:rPr>
        <w:t xml:space="preserve">) aktif </w:t>
      </w:r>
      <w:proofErr w:type="spellStart"/>
      <w:r w:rsidR="00BD67E0">
        <w:rPr>
          <w:color w:val="000000"/>
        </w:rPr>
        <w:t>psöriatik</w:t>
      </w:r>
      <w:proofErr w:type="spellEnd"/>
      <w:r w:rsidR="00BD67E0">
        <w:rPr>
          <w:color w:val="000000"/>
        </w:rPr>
        <w:t xml:space="preserve"> </w:t>
      </w:r>
      <w:proofErr w:type="spellStart"/>
      <w:r w:rsidR="00BD67E0">
        <w:rPr>
          <w:color w:val="000000"/>
        </w:rPr>
        <w:t>artritli</w:t>
      </w:r>
      <w:proofErr w:type="spellEnd"/>
      <w:r w:rsidR="00BD67E0">
        <w:rPr>
          <w:color w:val="000000"/>
        </w:rPr>
        <w:t xml:space="preserve"> yetiş</w:t>
      </w:r>
      <w:r w:rsidR="00BD67E0" w:rsidRPr="00BD67E0">
        <w:rPr>
          <w:color w:val="000000"/>
        </w:rPr>
        <w:t>kin hastaların tedavisine en fazla 3 ay süreli sağlık kurulu r</w:t>
      </w:r>
      <w:r w:rsidR="00BD67E0">
        <w:rPr>
          <w:color w:val="000000"/>
        </w:rPr>
        <w:t>aporuna dayanılarak tedaviye baş</w:t>
      </w:r>
      <w:r w:rsidR="00BD67E0" w:rsidRPr="00BD67E0">
        <w:rPr>
          <w:color w:val="000000"/>
        </w:rPr>
        <w:t>lanır.</w:t>
      </w:r>
      <w:proofErr w:type="gramEnd"/>
    </w:p>
    <w:p w:rsidR="00BD67E0" w:rsidRPr="00BD67E0" w:rsidRDefault="00BD67E0">
      <w:pPr>
        <w:rPr>
          <w:color w:val="000000"/>
        </w:rPr>
      </w:pPr>
      <w:r>
        <w:rPr>
          <w:color w:val="000000"/>
        </w:rPr>
        <w:t>a) Tedaviye baş</w:t>
      </w:r>
      <w:r w:rsidRPr="00BD67E0">
        <w:rPr>
          <w:color w:val="000000"/>
        </w:rPr>
        <w:t>landıktan 3 ay sonra yapılan değerlendirmede yeterli cevap alınması halinde (</w:t>
      </w:r>
      <w:proofErr w:type="spellStart"/>
      <w:r w:rsidRPr="00BD67E0">
        <w:rPr>
          <w:color w:val="000000"/>
        </w:rPr>
        <w:t>psöriyatik</w:t>
      </w:r>
      <w:proofErr w:type="spellEnd"/>
      <w:r w:rsidRPr="00BD67E0">
        <w:rPr>
          <w:color w:val="000000"/>
        </w:rPr>
        <w:t xml:space="preserve"> </w:t>
      </w:r>
      <w:proofErr w:type="spellStart"/>
      <w:r w:rsidRPr="00BD67E0">
        <w:rPr>
          <w:color w:val="000000"/>
        </w:rPr>
        <w:t>artrit</w:t>
      </w:r>
      <w:proofErr w:type="spellEnd"/>
      <w:r w:rsidRPr="00BD67E0">
        <w:rPr>
          <w:color w:val="000000"/>
        </w:rPr>
        <w:t xml:space="preserve"> yanıt </w:t>
      </w:r>
      <w:proofErr w:type="gramStart"/>
      <w:r w:rsidRPr="00BD67E0">
        <w:rPr>
          <w:color w:val="000000"/>
        </w:rPr>
        <w:t>kriterlerine</w:t>
      </w:r>
      <w:proofErr w:type="gramEnd"/>
      <w:r w:rsidRPr="00BD67E0">
        <w:rPr>
          <w:color w:val="000000"/>
        </w:rPr>
        <w:t xml:space="preserve"> (PSARC) göre yanıt alınması), bu durumun belirtildiği 6 ay süreli yeni düzenlenecek sağlık kurulu raporu ile tedaviye devam edilir. Yanıt alınamaması halinde tedavi sonlandırılır.</w:t>
      </w:r>
    </w:p>
    <w:p w:rsidR="00BD67E0" w:rsidRDefault="00BD67E0">
      <w:pPr>
        <w:rPr>
          <w:color w:val="000000"/>
        </w:rPr>
      </w:pPr>
      <w:r w:rsidRPr="00BD67E0">
        <w:rPr>
          <w:color w:val="000000"/>
        </w:rPr>
        <w:t xml:space="preserve"> b) Bu durumların belirtildiği </w:t>
      </w:r>
      <w:proofErr w:type="spellStart"/>
      <w:r w:rsidRPr="00BD67E0">
        <w:rPr>
          <w:color w:val="000000"/>
        </w:rPr>
        <w:t>romatoloji</w:t>
      </w:r>
      <w:proofErr w:type="spellEnd"/>
      <w:r w:rsidRPr="00BD67E0">
        <w:rPr>
          <w:color w:val="000000"/>
        </w:rPr>
        <w:t xml:space="preserve"> uzman hekiminin yer aldığı en fazla 6 ay süreli sağlık kurulu raporuna dayanılarak, </w:t>
      </w:r>
      <w:proofErr w:type="spellStart"/>
      <w:r w:rsidRPr="00BD67E0">
        <w:rPr>
          <w:color w:val="000000"/>
        </w:rPr>
        <w:t>romatoloji</w:t>
      </w:r>
      <w:proofErr w:type="spellEnd"/>
      <w:r w:rsidRPr="00BD67E0">
        <w:rPr>
          <w:color w:val="000000"/>
        </w:rPr>
        <w:t xml:space="preserve"> uzman hekimleri tarafından reçete edil</w:t>
      </w:r>
      <w:r>
        <w:rPr>
          <w:color w:val="000000"/>
        </w:rPr>
        <w:t>mesi halinde bedeli kurumca karş</w:t>
      </w:r>
      <w:r w:rsidRPr="00BD67E0">
        <w:rPr>
          <w:color w:val="000000"/>
        </w:rPr>
        <w:t>ılanır.</w:t>
      </w:r>
    </w:p>
    <w:p w:rsidR="00BD67E0" w:rsidRPr="00957401" w:rsidRDefault="00BD67E0">
      <w:pPr>
        <w:rPr>
          <w:b/>
          <w:color w:val="000000"/>
        </w:rPr>
      </w:pPr>
      <w:r w:rsidRPr="00957401">
        <w:rPr>
          <w:b/>
          <w:color w:val="000000"/>
        </w:rPr>
        <w:t>4.2.6.A - Büyüme hormonu bozukluklar</w:t>
      </w:r>
    </w:p>
    <w:p w:rsidR="00BD67E0" w:rsidRPr="00957401" w:rsidRDefault="00BD67E0">
      <w:pPr>
        <w:rPr>
          <w:b/>
          <w:color w:val="000000"/>
        </w:rPr>
      </w:pPr>
      <w:r w:rsidRPr="00957401">
        <w:rPr>
          <w:b/>
          <w:color w:val="000000"/>
        </w:rPr>
        <w:t xml:space="preserve">Ek 4.2.6.A-3- </w:t>
      </w:r>
      <w:proofErr w:type="spellStart"/>
      <w:r w:rsidRPr="00957401">
        <w:rPr>
          <w:b/>
          <w:color w:val="000000"/>
        </w:rPr>
        <w:t>Turner</w:t>
      </w:r>
      <w:proofErr w:type="spellEnd"/>
      <w:r w:rsidRPr="00957401">
        <w:rPr>
          <w:b/>
          <w:color w:val="000000"/>
        </w:rPr>
        <w:t xml:space="preserve"> </w:t>
      </w:r>
      <w:proofErr w:type="gramStart"/>
      <w:r w:rsidRPr="00957401">
        <w:rPr>
          <w:b/>
          <w:color w:val="000000"/>
        </w:rPr>
        <w:t>sendromunda</w:t>
      </w:r>
      <w:proofErr w:type="gramEnd"/>
      <w:r w:rsidRPr="00957401">
        <w:rPr>
          <w:b/>
          <w:color w:val="000000"/>
        </w:rPr>
        <w:t xml:space="preserve">; </w:t>
      </w:r>
    </w:p>
    <w:p w:rsidR="00BD67E0" w:rsidRDefault="00BD67E0">
      <w:pPr>
        <w:rPr>
          <w:color w:val="000000"/>
        </w:rPr>
      </w:pPr>
      <w:r w:rsidRPr="00BD67E0">
        <w:rPr>
          <w:color w:val="000000"/>
        </w:rPr>
        <w:t xml:space="preserve">(1) </w:t>
      </w:r>
      <w:proofErr w:type="spellStart"/>
      <w:r w:rsidRPr="00BD67E0">
        <w:rPr>
          <w:color w:val="000000"/>
        </w:rPr>
        <w:t>Epifiz</w:t>
      </w:r>
      <w:proofErr w:type="spellEnd"/>
      <w:r w:rsidRPr="00BD67E0">
        <w:rPr>
          <w:color w:val="000000"/>
        </w:rPr>
        <w:t xml:space="preserve"> hatları açık olan, klinik ve genetik ola</w:t>
      </w:r>
      <w:r>
        <w:rPr>
          <w:color w:val="000000"/>
        </w:rPr>
        <w:t xml:space="preserve">rak </w:t>
      </w:r>
      <w:proofErr w:type="spellStart"/>
      <w:r>
        <w:rPr>
          <w:color w:val="000000"/>
        </w:rPr>
        <w:t>turner</w:t>
      </w:r>
      <w:proofErr w:type="spellEnd"/>
      <w:r>
        <w:rPr>
          <w:color w:val="000000"/>
        </w:rPr>
        <w:t xml:space="preserve"> </w:t>
      </w:r>
      <w:proofErr w:type="gramStart"/>
      <w:r>
        <w:rPr>
          <w:color w:val="000000"/>
        </w:rPr>
        <w:t>sendromu</w:t>
      </w:r>
      <w:proofErr w:type="gramEnd"/>
      <w:r>
        <w:rPr>
          <w:color w:val="000000"/>
        </w:rPr>
        <w:t xml:space="preserve"> tanısı almış</w:t>
      </w:r>
      <w:r w:rsidRPr="00BD67E0">
        <w:rPr>
          <w:color w:val="000000"/>
        </w:rPr>
        <w:t xml:space="preserve"> hastalarda, en az bir çocuk endokrinoloji uzman hekiminin yer aldığı sağlık kurulu raporu ile çocuk endokrinoloji uzman hekimince reçete edilmesi halinde büyüm</w:t>
      </w:r>
      <w:r>
        <w:rPr>
          <w:color w:val="000000"/>
        </w:rPr>
        <w:t>e hormonu bedelleri Kurumca karş</w:t>
      </w:r>
      <w:r w:rsidRPr="00BD67E0">
        <w:rPr>
          <w:color w:val="000000"/>
        </w:rPr>
        <w:t>ılanır. Rapor en fazla 1 yıl süreyle geçerli olup, raporda ilacın kullanım dozu, uygul</w:t>
      </w:r>
      <w:r>
        <w:rPr>
          <w:color w:val="000000"/>
        </w:rPr>
        <w:t>ama planı, süresi ve baş</w:t>
      </w:r>
      <w:r w:rsidRPr="00BD67E0">
        <w:rPr>
          <w:color w:val="000000"/>
        </w:rPr>
        <w:t xml:space="preserve">lama </w:t>
      </w:r>
      <w:proofErr w:type="gramStart"/>
      <w:r w:rsidRPr="00BD67E0">
        <w:rPr>
          <w:color w:val="000000"/>
        </w:rPr>
        <w:t>kriterleri</w:t>
      </w:r>
      <w:proofErr w:type="gramEnd"/>
      <w:r w:rsidRPr="00BD67E0">
        <w:rPr>
          <w:color w:val="000000"/>
        </w:rPr>
        <w:t xml:space="preserve"> belirtilir.</w:t>
      </w:r>
    </w:p>
    <w:p w:rsidR="00BD67E0" w:rsidRDefault="00BD67E0">
      <w:pPr>
        <w:rPr>
          <w:color w:val="000000"/>
        </w:rPr>
      </w:pPr>
      <w:r>
        <w:rPr>
          <w:color w:val="000000"/>
        </w:rPr>
        <w:lastRenderedPageBreak/>
        <w:t xml:space="preserve"> (2) Aş</w:t>
      </w:r>
      <w:r w:rsidRPr="00BD67E0">
        <w:rPr>
          <w:color w:val="000000"/>
        </w:rPr>
        <w:t xml:space="preserve">ağıdaki </w:t>
      </w:r>
      <w:proofErr w:type="gramStart"/>
      <w:r w:rsidRPr="00BD67E0">
        <w:rPr>
          <w:color w:val="000000"/>
        </w:rPr>
        <w:t>kriterlerin</w:t>
      </w:r>
      <w:proofErr w:type="gramEnd"/>
      <w:r w:rsidRPr="00BD67E0">
        <w:rPr>
          <w:color w:val="000000"/>
        </w:rPr>
        <w:t xml:space="preserve"> herhangi biri sağlandığında tedavi sonlandırılır:</w:t>
      </w:r>
    </w:p>
    <w:p w:rsidR="00BD67E0" w:rsidRDefault="00BD67E0">
      <w:pPr>
        <w:rPr>
          <w:color w:val="000000"/>
        </w:rPr>
      </w:pPr>
      <w:r w:rsidRPr="00BD67E0">
        <w:rPr>
          <w:color w:val="000000"/>
        </w:rPr>
        <w:t xml:space="preserve"> a) </w:t>
      </w:r>
      <w:proofErr w:type="spellStart"/>
      <w:r w:rsidRPr="00BD67E0">
        <w:rPr>
          <w:color w:val="000000"/>
        </w:rPr>
        <w:t>Epifiz</w:t>
      </w:r>
      <w:proofErr w:type="spellEnd"/>
      <w:r w:rsidRPr="00BD67E0">
        <w:rPr>
          <w:color w:val="000000"/>
        </w:rPr>
        <w:t xml:space="preserve"> hattı kapandığında.</w:t>
      </w:r>
    </w:p>
    <w:p w:rsidR="00BD67E0" w:rsidRDefault="00BD67E0">
      <w:pPr>
        <w:rPr>
          <w:color w:val="000000"/>
        </w:rPr>
      </w:pPr>
      <w:r w:rsidRPr="00BD67E0">
        <w:rPr>
          <w:color w:val="000000"/>
        </w:rPr>
        <w:t xml:space="preserve"> b) Yıllık büyüme hızı 4 cm. ve altında olduğunda. </w:t>
      </w:r>
    </w:p>
    <w:p w:rsidR="00BD67E0" w:rsidRDefault="00BD67E0">
      <w:pPr>
        <w:rPr>
          <w:color w:val="000000"/>
        </w:rPr>
      </w:pPr>
      <w:r>
        <w:rPr>
          <w:color w:val="000000"/>
        </w:rPr>
        <w:t>c) Boy uzunluğu 155 cm.’ ye ulaş</w:t>
      </w:r>
      <w:r w:rsidRPr="00BD67E0">
        <w:rPr>
          <w:color w:val="000000"/>
        </w:rPr>
        <w:t>tığında.</w:t>
      </w:r>
    </w:p>
    <w:p w:rsidR="00BD67E0" w:rsidRDefault="00BD67E0">
      <w:pPr>
        <w:rPr>
          <w:color w:val="000000"/>
        </w:rPr>
      </w:pPr>
      <w:r w:rsidRPr="00BD67E0">
        <w:rPr>
          <w:color w:val="000000"/>
        </w:rPr>
        <w:t xml:space="preserve"> ç) Kemi</w:t>
      </w:r>
      <w:r>
        <w:rPr>
          <w:color w:val="000000"/>
        </w:rPr>
        <w:t>k yaşı 14’ e ulaş</w:t>
      </w:r>
      <w:r w:rsidRPr="00BD67E0">
        <w:rPr>
          <w:color w:val="000000"/>
        </w:rPr>
        <w:t>tığında.</w:t>
      </w:r>
    </w:p>
    <w:p w:rsidR="00BD67E0" w:rsidRPr="00957401" w:rsidRDefault="00BD67E0">
      <w:pPr>
        <w:rPr>
          <w:b/>
          <w:color w:val="000000"/>
        </w:rPr>
      </w:pPr>
      <w:r w:rsidRPr="00957401">
        <w:rPr>
          <w:b/>
          <w:color w:val="000000"/>
        </w:rPr>
        <w:t>4.2.</w:t>
      </w:r>
      <w:proofErr w:type="gramStart"/>
      <w:r w:rsidRPr="00957401">
        <w:rPr>
          <w:b/>
          <w:color w:val="000000"/>
        </w:rPr>
        <w:t>9 .Ç</w:t>
      </w:r>
      <w:proofErr w:type="gramEnd"/>
      <w:r w:rsidRPr="00957401">
        <w:rPr>
          <w:b/>
          <w:color w:val="000000"/>
        </w:rPr>
        <w:t xml:space="preserve"> - </w:t>
      </w:r>
      <w:proofErr w:type="spellStart"/>
      <w:r w:rsidRPr="00957401">
        <w:rPr>
          <w:b/>
          <w:color w:val="000000"/>
        </w:rPr>
        <w:t>Cinacalcet</w:t>
      </w:r>
      <w:proofErr w:type="spellEnd"/>
      <w:r w:rsidRPr="00957401">
        <w:rPr>
          <w:b/>
          <w:color w:val="000000"/>
        </w:rPr>
        <w:t xml:space="preserve"> kullanım ilkeleri</w:t>
      </w:r>
      <w:r w:rsidR="00E32F3C">
        <w:rPr>
          <w:b/>
          <w:color w:val="000000"/>
        </w:rPr>
        <w:t xml:space="preserve"> (MİMPARA</w:t>
      </w:r>
      <w:r w:rsidR="00FA4871">
        <w:rPr>
          <w:b/>
          <w:color w:val="000000"/>
        </w:rPr>
        <w:t>,PİMARO,VİSCAP,NEFROSET,KALSİSET,CYNACAL,CİNESET</w:t>
      </w:r>
      <w:r w:rsidR="00E32F3C">
        <w:rPr>
          <w:b/>
          <w:color w:val="000000"/>
        </w:rPr>
        <w:t>)</w:t>
      </w:r>
    </w:p>
    <w:p w:rsidR="00BD67E0" w:rsidRPr="00BD67E0" w:rsidRDefault="00BD67E0">
      <w:pPr>
        <w:rPr>
          <w:color w:val="000000"/>
        </w:rPr>
      </w:pPr>
      <w:r w:rsidRPr="00BD67E0">
        <w:rPr>
          <w:color w:val="000000"/>
        </w:rPr>
        <w:t>(1) Hemodiyaliz ya da periton diyaliz tedavisi altında</w:t>
      </w:r>
      <w:r w:rsidR="00E63BFF">
        <w:rPr>
          <w:color w:val="000000"/>
        </w:rPr>
        <w:t xml:space="preserve"> bulunan </w:t>
      </w:r>
      <w:proofErr w:type="spellStart"/>
      <w:r w:rsidR="00E63BFF">
        <w:rPr>
          <w:color w:val="000000"/>
        </w:rPr>
        <w:t>albumin</w:t>
      </w:r>
      <w:proofErr w:type="spellEnd"/>
      <w:r w:rsidR="00E63BFF">
        <w:rPr>
          <w:color w:val="000000"/>
        </w:rPr>
        <w:t xml:space="preserve"> ile düzeltilmiş</w:t>
      </w:r>
      <w:r w:rsidRPr="00BD67E0">
        <w:rPr>
          <w:color w:val="000000"/>
        </w:rPr>
        <w:t xml:space="preserve"> serum kalsiyum değeri </w:t>
      </w:r>
      <w:r w:rsidRPr="00BD67E0">
        <w:rPr>
          <w:b/>
          <w:color w:val="000000"/>
        </w:rPr>
        <w:t>≥8,5 mg/dl</w:t>
      </w:r>
      <w:r w:rsidRPr="00BD67E0">
        <w:rPr>
          <w:color w:val="000000"/>
        </w:rPr>
        <w:t xml:space="preserve">, </w:t>
      </w:r>
      <w:proofErr w:type="spellStart"/>
      <w:r w:rsidRPr="00BD67E0">
        <w:rPr>
          <w:color w:val="000000"/>
        </w:rPr>
        <w:t>parathormon</w:t>
      </w:r>
      <w:proofErr w:type="spellEnd"/>
      <w:r w:rsidRPr="00BD67E0">
        <w:rPr>
          <w:color w:val="000000"/>
        </w:rPr>
        <w:t xml:space="preserve"> (PTH) düzeyi 700 </w:t>
      </w:r>
      <w:proofErr w:type="spellStart"/>
      <w:r w:rsidRPr="00BD67E0">
        <w:rPr>
          <w:color w:val="000000"/>
        </w:rPr>
        <w:t>pg</w:t>
      </w:r>
      <w:proofErr w:type="spellEnd"/>
      <w:r w:rsidRPr="00BD67E0">
        <w:rPr>
          <w:color w:val="000000"/>
        </w:rPr>
        <w:t>/ml ve üzerinde olduğu belgelenen ha</w:t>
      </w:r>
      <w:r w:rsidR="00E63BFF">
        <w:rPr>
          <w:color w:val="000000"/>
        </w:rPr>
        <w:t xml:space="preserve">stalarda </w:t>
      </w:r>
      <w:proofErr w:type="spellStart"/>
      <w:r w:rsidR="00E63BFF">
        <w:rPr>
          <w:color w:val="000000"/>
        </w:rPr>
        <w:t>cinacalcet</w:t>
      </w:r>
      <w:proofErr w:type="spellEnd"/>
      <w:r w:rsidR="00E63BFF">
        <w:rPr>
          <w:color w:val="000000"/>
        </w:rPr>
        <w:t xml:space="preserve"> tedavisi baş</w:t>
      </w:r>
      <w:r w:rsidRPr="00BD67E0">
        <w:rPr>
          <w:color w:val="000000"/>
        </w:rPr>
        <w:t xml:space="preserve">lanabilir. </w:t>
      </w:r>
    </w:p>
    <w:p w:rsidR="00E63BFF" w:rsidRDefault="00BD67E0">
      <w:pPr>
        <w:rPr>
          <w:color w:val="000000"/>
        </w:rPr>
      </w:pPr>
      <w:r w:rsidRPr="00BD67E0">
        <w:rPr>
          <w:color w:val="000000"/>
        </w:rPr>
        <w:t>(2) Hemodiyaliz veya periton diyaliz tedavisi altındaki has</w:t>
      </w:r>
      <w:r w:rsidR="00E63BFF">
        <w:rPr>
          <w:color w:val="000000"/>
        </w:rPr>
        <w:t xml:space="preserve">talardan </w:t>
      </w:r>
      <w:proofErr w:type="spellStart"/>
      <w:r w:rsidR="00E63BFF">
        <w:rPr>
          <w:color w:val="000000"/>
        </w:rPr>
        <w:t>albumin</w:t>
      </w:r>
      <w:proofErr w:type="spellEnd"/>
      <w:r w:rsidR="00E63BFF">
        <w:rPr>
          <w:color w:val="000000"/>
        </w:rPr>
        <w:t xml:space="preserve"> ile düzeltilmiş</w:t>
      </w:r>
      <w:r w:rsidRPr="00BD67E0">
        <w:rPr>
          <w:color w:val="000000"/>
        </w:rPr>
        <w:t xml:space="preserve"> serum kalsiyum değeri ≤8,4 mg/dl olanlarda </w:t>
      </w:r>
      <w:proofErr w:type="spellStart"/>
      <w:r w:rsidRPr="00BD67E0">
        <w:rPr>
          <w:color w:val="000000"/>
        </w:rPr>
        <w:t>cinacalcet</w:t>
      </w:r>
      <w:proofErr w:type="spellEnd"/>
      <w:r w:rsidRPr="00BD67E0">
        <w:rPr>
          <w:color w:val="000000"/>
        </w:rPr>
        <w:t xml:space="preserve"> tedavisi kesilir.</w:t>
      </w:r>
    </w:p>
    <w:p w:rsidR="00E63BFF" w:rsidRPr="00957401" w:rsidRDefault="00E63BFF">
      <w:pPr>
        <w:rPr>
          <w:b/>
          <w:color w:val="000000"/>
        </w:rPr>
      </w:pPr>
      <w:r w:rsidRPr="00957401">
        <w:rPr>
          <w:b/>
          <w:color w:val="000000"/>
        </w:rPr>
        <w:t xml:space="preserve">4.2.10 </w:t>
      </w:r>
      <w:proofErr w:type="spellStart"/>
      <w:r w:rsidRPr="00957401">
        <w:rPr>
          <w:b/>
          <w:color w:val="000000"/>
        </w:rPr>
        <w:t>Lizozomal</w:t>
      </w:r>
      <w:proofErr w:type="spellEnd"/>
      <w:r w:rsidRPr="00957401">
        <w:rPr>
          <w:b/>
          <w:color w:val="000000"/>
        </w:rPr>
        <w:t xml:space="preserve"> hastalıklar için tedavi ilkeleri</w:t>
      </w:r>
    </w:p>
    <w:p w:rsidR="00E63BFF" w:rsidRPr="00957401" w:rsidRDefault="00E63BFF">
      <w:pPr>
        <w:rPr>
          <w:b/>
          <w:color w:val="000000"/>
        </w:rPr>
      </w:pPr>
      <w:r w:rsidRPr="00957401">
        <w:rPr>
          <w:b/>
          <w:color w:val="000000"/>
        </w:rPr>
        <w:t>4.2.10.</w:t>
      </w:r>
      <w:proofErr w:type="gramStart"/>
      <w:r w:rsidRPr="00957401">
        <w:rPr>
          <w:b/>
          <w:color w:val="000000"/>
        </w:rPr>
        <w:t xml:space="preserve">B  </w:t>
      </w:r>
      <w:proofErr w:type="spellStart"/>
      <w:r w:rsidRPr="00957401">
        <w:rPr>
          <w:b/>
          <w:color w:val="000000"/>
        </w:rPr>
        <w:t>Febry</w:t>
      </w:r>
      <w:proofErr w:type="spellEnd"/>
      <w:proofErr w:type="gramEnd"/>
      <w:r w:rsidRPr="00957401">
        <w:rPr>
          <w:b/>
          <w:color w:val="000000"/>
        </w:rPr>
        <w:t xml:space="preserve"> hastalığı tedavi </w:t>
      </w:r>
      <w:proofErr w:type="spellStart"/>
      <w:r w:rsidRPr="00957401">
        <w:rPr>
          <w:b/>
          <w:color w:val="000000"/>
        </w:rPr>
        <w:t>esesları</w:t>
      </w:r>
      <w:proofErr w:type="spellEnd"/>
    </w:p>
    <w:p w:rsidR="00E63BFF" w:rsidRPr="00957401" w:rsidRDefault="00E63BFF">
      <w:pPr>
        <w:rPr>
          <w:b/>
          <w:color w:val="000000"/>
        </w:rPr>
      </w:pPr>
      <w:r w:rsidRPr="00957401">
        <w:rPr>
          <w:b/>
          <w:color w:val="000000"/>
        </w:rPr>
        <w:t xml:space="preserve">4.2.10.B-2 - Rapor ve </w:t>
      </w:r>
      <w:proofErr w:type="spellStart"/>
      <w:r w:rsidRPr="00957401">
        <w:rPr>
          <w:b/>
          <w:color w:val="000000"/>
        </w:rPr>
        <w:t>reçeteleme</w:t>
      </w:r>
      <w:proofErr w:type="spellEnd"/>
      <w:r w:rsidRPr="00957401">
        <w:rPr>
          <w:b/>
          <w:color w:val="000000"/>
        </w:rPr>
        <w:t xml:space="preserve"> koşulları</w:t>
      </w:r>
    </w:p>
    <w:p w:rsidR="00BD67E0" w:rsidRPr="00E63BFF" w:rsidRDefault="00E63BFF">
      <w:r w:rsidRPr="00E63BFF">
        <w:rPr>
          <w:color w:val="000000"/>
        </w:rPr>
        <w:t xml:space="preserve"> </w:t>
      </w:r>
      <w:proofErr w:type="gramStart"/>
      <w:r w:rsidRPr="00E63BFF">
        <w:rPr>
          <w:color w:val="000000"/>
        </w:rPr>
        <w:t xml:space="preserve">(1) Hasta adına, en az biri çocuk metabolizma veya çocuk endokrinoloji ve metabolizma uzman hekimi olmak kaydıyla; gastroenteroloji veya nöroloji veya </w:t>
      </w:r>
      <w:proofErr w:type="spellStart"/>
      <w:r w:rsidRPr="00E63BFF">
        <w:rPr>
          <w:color w:val="000000"/>
        </w:rPr>
        <w:t>nefroloji</w:t>
      </w:r>
      <w:proofErr w:type="spellEnd"/>
      <w:r w:rsidRPr="00E63BFF">
        <w:rPr>
          <w:color w:val="000000"/>
        </w:rPr>
        <w:t xml:space="preserve"> uzman hekimlerince düzenlenen sağlık kurulu raporuna istinaden bu hekimlerce, bu hekimlerin bulunmadığı yerlerde ise çocuk sağlığı ve hastalıkları veya iç hastalıkları uzman hekimlerince reçete edilmesi halinde bedeli Kurumca </w:t>
      </w:r>
      <w:r>
        <w:rPr>
          <w:color w:val="000000"/>
        </w:rPr>
        <w:t xml:space="preserve">karşılanır. </w:t>
      </w:r>
      <w:proofErr w:type="gramEnd"/>
      <w:r>
        <w:rPr>
          <w:color w:val="000000"/>
        </w:rPr>
        <w:t>Raporda; teşhis, baş</w:t>
      </w:r>
      <w:r w:rsidRPr="00E63BFF">
        <w:rPr>
          <w:color w:val="000000"/>
        </w:rPr>
        <w:t xml:space="preserve">langıç ve devam </w:t>
      </w:r>
      <w:proofErr w:type="gramStart"/>
      <w:r w:rsidRPr="00E63BFF">
        <w:rPr>
          <w:color w:val="000000"/>
        </w:rPr>
        <w:t>kriter</w:t>
      </w:r>
      <w:proofErr w:type="gramEnd"/>
      <w:r w:rsidRPr="00E63BFF">
        <w:rPr>
          <w:color w:val="000000"/>
        </w:rPr>
        <w:t>/kriterleri ile ilgili tüm bilgiler yer alır. Rapor süresi 6 aydır.</w:t>
      </w:r>
    </w:p>
    <w:p w:rsidR="00AA1E71" w:rsidRPr="00957401" w:rsidRDefault="00AA1E71">
      <w:pPr>
        <w:rPr>
          <w:b/>
        </w:rPr>
      </w:pPr>
      <w:r w:rsidRPr="00957401">
        <w:rPr>
          <w:b/>
        </w:rPr>
        <w:t xml:space="preserve">4.2.10.C </w:t>
      </w:r>
      <w:proofErr w:type="spellStart"/>
      <w:r w:rsidRPr="00957401">
        <w:rPr>
          <w:b/>
        </w:rPr>
        <w:t>Mukopolisakkarizdoz</w:t>
      </w:r>
      <w:proofErr w:type="spellEnd"/>
      <w:r w:rsidRPr="00957401">
        <w:rPr>
          <w:b/>
        </w:rPr>
        <w:t xml:space="preserve"> Tip I- II ve </w:t>
      </w:r>
      <w:proofErr w:type="gramStart"/>
      <w:r w:rsidRPr="00957401">
        <w:rPr>
          <w:b/>
        </w:rPr>
        <w:t>VI  hastalığı</w:t>
      </w:r>
      <w:proofErr w:type="gramEnd"/>
      <w:r w:rsidRPr="00957401">
        <w:rPr>
          <w:b/>
        </w:rPr>
        <w:t xml:space="preserve"> tedavi esasları</w:t>
      </w:r>
    </w:p>
    <w:p w:rsidR="00AA1E71" w:rsidRDefault="00AA1E71" w:rsidP="00AA1E71">
      <w:pPr>
        <w:pStyle w:val="NormalWeb"/>
        <w:rPr>
          <w:rFonts w:asciiTheme="minorHAnsi" w:hAnsiTheme="minorHAnsi"/>
          <w:color w:val="000000"/>
          <w:sz w:val="22"/>
          <w:szCs w:val="22"/>
        </w:rPr>
      </w:pPr>
      <w:r w:rsidRPr="00957401">
        <w:rPr>
          <w:rFonts w:asciiTheme="minorHAnsi" w:hAnsiTheme="minorHAnsi"/>
          <w:b/>
          <w:color w:val="000000"/>
          <w:sz w:val="22"/>
          <w:szCs w:val="22"/>
        </w:rPr>
        <w:t xml:space="preserve">4.2.10.C-2 - Rapor ve </w:t>
      </w:r>
      <w:proofErr w:type="spellStart"/>
      <w:r w:rsidRPr="00957401">
        <w:rPr>
          <w:rFonts w:asciiTheme="minorHAnsi" w:hAnsiTheme="minorHAnsi"/>
          <w:b/>
          <w:color w:val="000000"/>
          <w:sz w:val="22"/>
          <w:szCs w:val="22"/>
        </w:rPr>
        <w:t>reçeteleme</w:t>
      </w:r>
      <w:proofErr w:type="spellEnd"/>
      <w:r w:rsidRPr="00957401">
        <w:rPr>
          <w:rFonts w:asciiTheme="minorHAnsi" w:hAnsiTheme="minorHAnsi"/>
          <w:b/>
          <w:color w:val="000000"/>
          <w:sz w:val="22"/>
          <w:szCs w:val="22"/>
        </w:rPr>
        <w:t xml:space="preserve"> koşulları </w:t>
      </w:r>
    </w:p>
    <w:p w:rsidR="00AA1E71" w:rsidRDefault="00AA1E71" w:rsidP="00AA1E71">
      <w:pPr>
        <w:pStyle w:val="NormalWeb"/>
        <w:rPr>
          <w:rFonts w:asciiTheme="minorHAnsi" w:hAnsiTheme="minorHAnsi"/>
          <w:color w:val="000000"/>
          <w:sz w:val="22"/>
          <w:szCs w:val="22"/>
        </w:rPr>
      </w:pPr>
      <w:r>
        <w:rPr>
          <w:rFonts w:asciiTheme="minorHAnsi" w:hAnsiTheme="minorHAnsi"/>
          <w:color w:val="000000"/>
          <w:sz w:val="22"/>
          <w:szCs w:val="22"/>
        </w:rPr>
        <w:t>(1) 72 ay üzeri çocuk ve eriş</w:t>
      </w:r>
      <w:r w:rsidRPr="00AA1E71">
        <w:rPr>
          <w:rFonts w:asciiTheme="minorHAnsi" w:hAnsiTheme="minorHAnsi"/>
          <w:color w:val="000000"/>
          <w:sz w:val="22"/>
          <w:szCs w:val="22"/>
        </w:rPr>
        <w:t>kin hastalar için; çocuk metabolizma, çocuk endokrinolojisi ve metabolizma hastalıkları veya endokrinoloji ve metabolizma hastalıkları uzman hekimlerinin yer aldığı sağlık kurulu raporu düzen</w:t>
      </w:r>
      <w:r>
        <w:rPr>
          <w:rFonts w:asciiTheme="minorHAnsi" w:hAnsiTheme="minorHAnsi"/>
          <w:color w:val="000000"/>
          <w:sz w:val="22"/>
          <w:szCs w:val="22"/>
        </w:rPr>
        <w:t>lenir. Raporda; teşhis, baş</w:t>
      </w:r>
      <w:r w:rsidRPr="00AA1E71">
        <w:rPr>
          <w:rFonts w:asciiTheme="minorHAnsi" w:hAnsiTheme="minorHAnsi"/>
          <w:color w:val="000000"/>
          <w:sz w:val="22"/>
          <w:szCs w:val="22"/>
        </w:rPr>
        <w:t xml:space="preserve">langıç ve devam </w:t>
      </w:r>
      <w:proofErr w:type="gramStart"/>
      <w:r w:rsidRPr="00AA1E71">
        <w:rPr>
          <w:rFonts w:asciiTheme="minorHAnsi" w:hAnsiTheme="minorHAnsi"/>
          <w:color w:val="000000"/>
          <w:sz w:val="22"/>
          <w:szCs w:val="22"/>
        </w:rPr>
        <w:t>kriter</w:t>
      </w:r>
      <w:proofErr w:type="gramEnd"/>
      <w:r w:rsidRPr="00AA1E71">
        <w:rPr>
          <w:rFonts w:asciiTheme="minorHAnsi" w:hAnsiTheme="minorHAnsi"/>
          <w:color w:val="000000"/>
          <w:sz w:val="22"/>
          <w:szCs w:val="22"/>
        </w:rPr>
        <w:t>/kriterleri ile ilgili tüm bilgiler yer alır. Rapor süresi 1 yıldır. Bu rapora dayanılarak çocuk metabolizma veya endokrinoloji ve metabolizma hastalıkları uzman hekimlerince, bu hekimlerin bulunmadığı yerlerde ise çocuk sağlığı ve hastalıkları veya</w:t>
      </w:r>
      <w:r>
        <w:rPr>
          <w:rFonts w:asciiTheme="minorHAnsi" w:hAnsiTheme="minorHAnsi"/>
          <w:color w:val="000000"/>
          <w:sz w:val="22"/>
          <w:szCs w:val="22"/>
        </w:rPr>
        <w:t xml:space="preserve"> </w:t>
      </w:r>
      <w:r w:rsidRPr="00AA1E71">
        <w:rPr>
          <w:rFonts w:asciiTheme="minorHAnsi" w:hAnsiTheme="minorHAnsi"/>
          <w:color w:val="000000"/>
          <w:sz w:val="22"/>
          <w:szCs w:val="22"/>
        </w:rPr>
        <w:t xml:space="preserve">metabolizma hastalıkları uzman hekimlerince, bu hekimlerin bulunmadığı yerlerde ise çocuk sağlığı ve hastalıkları veya iç hastalıkları uzman hekimlerince reçete düzenlenir. </w:t>
      </w:r>
    </w:p>
    <w:p w:rsidR="00AA1E71" w:rsidRPr="00D87008" w:rsidRDefault="00AA1E71" w:rsidP="00D87008">
      <w:pPr>
        <w:pStyle w:val="NormalWeb"/>
        <w:rPr>
          <w:rFonts w:asciiTheme="minorHAnsi" w:hAnsiTheme="minorHAnsi"/>
          <w:color w:val="000000"/>
          <w:sz w:val="22"/>
          <w:szCs w:val="22"/>
        </w:rPr>
      </w:pPr>
      <w:r w:rsidRPr="00AA1E71">
        <w:rPr>
          <w:rFonts w:asciiTheme="minorHAnsi" w:hAnsiTheme="minorHAnsi"/>
          <w:color w:val="000000"/>
          <w:sz w:val="22"/>
          <w:szCs w:val="22"/>
        </w:rPr>
        <w:t>(2) 72 ay altı çocuk hastalar için; çocuk metabolizma, çocuk endokrinolojisi ve metabolizma hastalıkları veya endokrinoloji ve metabolizma hastalıkları uzman hekimlerinden en az birinin yer aldığı sağlık kurulu</w:t>
      </w:r>
      <w:r>
        <w:rPr>
          <w:rFonts w:asciiTheme="minorHAnsi" w:hAnsiTheme="minorHAnsi"/>
          <w:color w:val="000000"/>
          <w:sz w:val="22"/>
          <w:szCs w:val="22"/>
        </w:rPr>
        <w:t xml:space="preserve"> raporu düzenlenir. Raporda; teşhis, baş</w:t>
      </w:r>
      <w:r w:rsidRPr="00AA1E71">
        <w:rPr>
          <w:rFonts w:asciiTheme="minorHAnsi" w:hAnsiTheme="minorHAnsi"/>
          <w:color w:val="000000"/>
          <w:sz w:val="22"/>
          <w:szCs w:val="22"/>
        </w:rPr>
        <w:t xml:space="preserve">langıç ve devam </w:t>
      </w:r>
      <w:proofErr w:type="gramStart"/>
      <w:r w:rsidRPr="00AA1E71">
        <w:rPr>
          <w:rFonts w:asciiTheme="minorHAnsi" w:hAnsiTheme="minorHAnsi"/>
          <w:color w:val="000000"/>
          <w:sz w:val="22"/>
          <w:szCs w:val="22"/>
        </w:rPr>
        <w:t>kriter</w:t>
      </w:r>
      <w:proofErr w:type="gramEnd"/>
      <w:r w:rsidRPr="00AA1E71">
        <w:rPr>
          <w:rFonts w:asciiTheme="minorHAnsi" w:hAnsiTheme="minorHAnsi"/>
          <w:color w:val="000000"/>
          <w:sz w:val="22"/>
          <w:szCs w:val="22"/>
        </w:rPr>
        <w:t xml:space="preserve">/kriterleri ile ilgili tüm bilgiler yer alır. Rapor süresi 6 aydır. Bu rapora dayanılarak yine bu hekimlerce, bu hekimlerin bulunmadığı yerlerde ise çocuk sağlığı ve hastalıkları veya iç hastalıkları uzman hekimlerince reçete düzenlenir. </w:t>
      </w:r>
    </w:p>
    <w:p w:rsidR="00E63BFF" w:rsidRPr="00957401" w:rsidRDefault="00AA1E71">
      <w:pPr>
        <w:rPr>
          <w:b/>
          <w:color w:val="000000"/>
        </w:rPr>
      </w:pPr>
      <w:r w:rsidRPr="00957401">
        <w:rPr>
          <w:b/>
        </w:rPr>
        <w:t xml:space="preserve"> </w:t>
      </w:r>
      <w:r w:rsidR="00D87008" w:rsidRPr="00957401">
        <w:rPr>
          <w:b/>
          <w:color w:val="000000"/>
        </w:rPr>
        <w:t xml:space="preserve">4.2.12.B – Spesifik olmayan/ gamma/ </w:t>
      </w:r>
      <w:proofErr w:type="spellStart"/>
      <w:r w:rsidR="00D87008" w:rsidRPr="00957401">
        <w:rPr>
          <w:b/>
          <w:color w:val="000000"/>
        </w:rPr>
        <w:t>polivalan</w:t>
      </w:r>
      <w:proofErr w:type="spellEnd"/>
      <w:r w:rsidR="00D87008" w:rsidRPr="00957401">
        <w:rPr>
          <w:b/>
          <w:color w:val="000000"/>
        </w:rPr>
        <w:t xml:space="preserve"> </w:t>
      </w:r>
      <w:proofErr w:type="spellStart"/>
      <w:r w:rsidR="00D87008" w:rsidRPr="00957401">
        <w:rPr>
          <w:b/>
          <w:color w:val="000000"/>
        </w:rPr>
        <w:t>immünglobulinler</w:t>
      </w:r>
      <w:proofErr w:type="spellEnd"/>
      <w:r w:rsidR="00D87008" w:rsidRPr="00957401">
        <w:rPr>
          <w:b/>
          <w:color w:val="000000"/>
        </w:rPr>
        <w:t xml:space="preserve"> (</w:t>
      </w:r>
      <w:proofErr w:type="spellStart"/>
      <w:r w:rsidR="00D87008" w:rsidRPr="00957401">
        <w:rPr>
          <w:b/>
          <w:color w:val="000000"/>
        </w:rPr>
        <w:t>IVIg</w:t>
      </w:r>
      <w:proofErr w:type="spellEnd"/>
      <w:r w:rsidR="00D87008" w:rsidRPr="00957401">
        <w:rPr>
          <w:b/>
          <w:color w:val="000000"/>
        </w:rPr>
        <w:t xml:space="preserve"> ve </w:t>
      </w:r>
      <w:proofErr w:type="spellStart"/>
      <w:r w:rsidR="00D87008" w:rsidRPr="00957401">
        <w:rPr>
          <w:b/>
          <w:color w:val="000000"/>
        </w:rPr>
        <w:t>subcutan</w:t>
      </w:r>
      <w:proofErr w:type="spellEnd"/>
      <w:r w:rsidR="00D87008" w:rsidRPr="00957401">
        <w:rPr>
          <w:b/>
          <w:color w:val="000000"/>
        </w:rPr>
        <w:t xml:space="preserve"> </w:t>
      </w:r>
      <w:proofErr w:type="spellStart"/>
      <w:r w:rsidR="00D87008" w:rsidRPr="00957401">
        <w:rPr>
          <w:b/>
          <w:color w:val="000000"/>
        </w:rPr>
        <w:t>immunglobulinler</w:t>
      </w:r>
      <w:proofErr w:type="spellEnd"/>
      <w:r w:rsidR="00D87008" w:rsidRPr="00957401">
        <w:rPr>
          <w:b/>
          <w:color w:val="000000"/>
        </w:rPr>
        <w:t>)</w:t>
      </w:r>
    </w:p>
    <w:p w:rsidR="00D87008" w:rsidRPr="00D87008" w:rsidRDefault="00D87008">
      <w:pPr>
        <w:rPr>
          <w:color w:val="000000"/>
        </w:rPr>
      </w:pPr>
      <w:r w:rsidRPr="00D87008">
        <w:rPr>
          <w:color w:val="000000"/>
        </w:rPr>
        <w:t xml:space="preserve">e) Nörolojik hastalıklardan; </w:t>
      </w:r>
      <w:proofErr w:type="spellStart"/>
      <w:r w:rsidRPr="00D87008">
        <w:rPr>
          <w:color w:val="000000"/>
        </w:rPr>
        <w:t>myastenik</w:t>
      </w:r>
      <w:proofErr w:type="spellEnd"/>
      <w:r w:rsidRPr="00D87008">
        <w:rPr>
          <w:color w:val="000000"/>
        </w:rPr>
        <w:t xml:space="preserve"> kriz, </w:t>
      </w:r>
      <w:proofErr w:type="spellStart"/>
      <w:r w:rsidRPr="00D87008">
        <w:rPr>
          <w:color w:val="000000"/>
        </w:rPr>
        <w:t>limbik</w:t>
      </w:r>
      <w:proofErr w:type="spellEnd"/>
      <w:r w:rsidRPr="00D87008">
        <w:rPr>
          <w:color w:val="000000"/>
        </w:rPr>
        <w:t xml:space="preserve"> </w:t>
      </w:r>
      <w:proofErr w:type="spellStart"/>
      <w:r w:rsidRPr="00D87008">
        <w:rPr>
          <w:color w:val="000000"/>
        </w:rPr>
        <w:t>ensefalit</w:t>
      </w:r>
      <w:proofErr w:type="spellEnd"/>
      <w:r w:rsidRPr="00D87008">
        <w:rPr>
          <w:color w:val="000000"/>
        </w:rPr>
        <w:t xml:space="preserve">, </w:t>
      </w:r>
      <w:proofErr w:type="spellStart"/>
      <w:r w:rsidRPr="00D87008">
        <w:rPr>
          <w:color w:val="000000"/>
        </w:rPr>
        <w:t>opsoklonus</w:t>
      </w:r>
      <w:proofErr w:type="spellEnd"/>
      <w:r w:rsidRPr="00D87008">
        <w:rPr>
          <w:color w:val="000000"/>
        </w:rPr>
        <w:t xml:space="preserve">- </w:t>
      </w:r>
      <w:proofErr w:type="spellStart"/>
      <w:r w:rsidRPr="00D87008">
        <w:rPr>
          <w:color w:val="000000"/>
        </w:rPr>
        <w:t>myoklonus</w:t>
      </w:r>
      <w:proofErr w:type="spellEnd"/>
      <w:r w:rsidRPr="00D87008">
        <w:rPr>
          <w:color w:val="000000"/>
        </w:rPr>
        <w:t xml:space="preserve">, </w:t>
      </w:r>
      <w:proofErr w:type="spellStart"/>
      <w:r w:rsidRPr="00D87008">
        <w:rPr>
          <w:color w:val="000000"/>
        </w:rPr>
        <w:t>eaton</w:t>
      </w:r>
      <w:proofErr w:type="spellEnd"/>
      <w:r w:rsidRPr="00D87008">
        <w:rPr>
          <w:color w:val="000000"/>
        </w:rPr>
        <w:t xml:space="preserve"> </w:t>
      </w:r>
      <w:proofErr w:type="spellStart"/>
      <w:r w:rsidRPr="00D87008">
        <w:rPr>
          <w:color w:val="000000"/>
        </w:rPr>
        <w:t>lambert</w:t>
      </w:r>
      <w:proofErr w:type="spellEnd"/>
      <w:r w:rsidRPr="00D87008">
        <w:rPr>
          <w:color w:val="000000"/>
        </w:rPr>
        <w:t xml:space="preserve"> </w:t>
      </w:r>
      <w:proofErr w:type="gramStart"/>
      <w:r w:rsidRPr="00D87008">
        <w:rPr>
          <w:color w:val="000000"/>
        </w:rPr>
        <w:t>sendromu</w:t>
      </w:r>
      <w:proofErr w:type="gramEnd"/>
      <w:r w:rsidRPr="00D87008">
        <w:rPr>
          <w:color w:val="000000"/>
        </w:rPr>
        <w:t xml:space="preserve">, </w:t>
      </w:r>
      <w:proofErr w:type="spellStart"/>
      <w:r w:rsidRPr="00D87008">
        <w:rPr>
          <w:color w:val="000000"/>
        </w:rPr>
        <w:t>rasmussen</w:t>
      </w:r>
      <w:proofErr w:type="spellEnd"/>
      <w:r w:rsidRPr="00D87008">
        <w:rPr>
          <w:color w:val="000000"/>
        </w:rPr>
        <w:t xml:space="preserve"> </w:t>
      </w:r>
      <w:proofErr w:type="spellStart"/>
      <w:r w:rsidRPr="00D87008">
        <w:rPr>
          <w:color w:val="000000"/>
        </w:rPr>
        <w:t>ensefaliti</w:t>
      </w:r>
      <w:proofErr w:type="spellEnd"/>
      <w:r w:rsidRPr="00D87008">
        <w:rPr>
          <w:color w:val="000000"/>
        </w:rPr>
        <w:t xml:space="preserve">, </w:t>
      </w:r>
      <w:proofErr w:type="spellStart"/>
      <w:r w:rsidRPr="00D87008">
        <w:rPr>
          <w:color w:val="000000"/>
        </w:rPr>
        <w:t>stiff</w:t>
      </w:r>
      <w:proofErr w:type="spellEnd"/>
      <w:r w:rsidRPr="00D87008">
        <w:rPr>
          <w:color w:val="000000"/>
        </w:rPr>
        <w:t xml:space="preserve"> </w:t>
      </w:r>
      <w:proofErr w:type="spellStart"/>
      <w:r w:rsidRPr="00D87008">
        <w:rPr>
          <w:color w:val="000000"/>
        </w:rPr>
        <w:t>person</w:t>
      </w:r>
      <w:proofErr w:type="spellEnd"/>
      <w:r w:rsidRPr="00D87008">
        <w:rPr>
          <w:color w:val="000000"/>
        </w:rPr>
        <w:t xml:space="preserve"> sendromunda </w:t>
      </w:r>
      <w:proofErr w:type="spellStart"/>
      <w:r w:rsidRPr="00D87008">
        <w:rPr>
          <w:b/>
          <w:color w:val="000000"/>
        </w:rPr>
        <w:t>nöroloj</w:t>
      </w:r>
      <w:proofErr w:type="spellEnd"/>
      <w:r w:rsidRPr="00D87008">
        <w:rPr>
          <w:b/>
          <w:color w:val="000000"/>
        </w:rPr>
        <w:t xml:space="preserve"> uzman hekimleri</w:t>
      </w:r>
      <w:r w:rsidRPr="00D87008">
        <w:rPr>
          <w:color w:val="000000"/>
        </w:rPr>
        <w:t xml:space="preserve"> tarafından,</w:t>
      </w:r>
    </w:p>
    <w:p w:rsidR="00D87008" w:rsidRDefault="00D87008">
      <w:pPr>
        <w:rPr>
          <w:color w:val="000000"/>
        </w:rPr>
      </w:pPr>
      <w:r w:rsidRPr="00D87008">
        <w:rPr>
          <w:color w:val="000000"/>
        </w:rPr>
        <w:t xml:space="preserve"> f) Kronik </w:t>
      </w:r>
      <w:proofErr w:type="spellStart"/>
      <w:r w:rsidRPr="00D87008">
        <w:rPr>
          <w:color w:val="000000"/>
        </w:rPr>
        <w:t>inflamatuvar</w:t>
      </w:r>
      <w:proofErr w:type="spellEnd"/>
      <w:r w:rsidRPr="00D87008">
        <w:rPr>
          <w:color w:val="000000"/>
        </w:rPr>
        <w:t xml:space="preserve"> </w:t>
      </w:r>
      <w:proofErr w:type="spellStart"/>
      <w:r w:rsidRPr="00D87008">
        <w:rPr>
          <w:color w:val="000000"/>
        </w:rPr>
        <w:t>polinöropati</w:t>
      </w:r>
      <w:proofErr w:type="spellEnd"/>
      <w:r w:rsidRPr="00D87008">
        <w:rPr>
          <w:color w:val="000000"/>
        </w:rPr>
        <w:t xml:space="preserve"> (CIDP) ve </w:t>
      </w:r>
      <w:proofErr w:type="spellStart"/>
      <w:r w:rsidRPr="00D87008">
        <w:rPr>
          <w:color w:val="000000"/>
        </w:rPr>
        <w:t>multifokal</w:t>
      </w:r>
      <w:proofErr w:type="spellEnd"/>
      <w:r w:rsidRPr="00D87008">
        <w:rPr>
          <w:color w:val="000000"/>
        </w:rPr>
        <w:t xml:space="preserve"> motor </w:t>
      </w:r>
      <w:proofErr w:type="spellStart"/>
      <w:r w:rsidRPr="00D87008">
        <w:rPr>
          <w:color w:val="000000"/>
        </w:rPr>
        <w:t>nöropati</w:t>
      </w:r>
      <w:proofErr w:type="spellEnd"/>
      <w:r w:rsidRPr="00D87008">
        <w:rPr>
          <w:color w:val="000000"/>
        </w:rPr>
        <w:t xml:space="preserve"> (MMN) </w:t>
      </w:r>
      <w:proofErr w:type="spellStart"/>
      <w:r w:rsidRPr="00D87008">
        <w:rPr>
          <w:color w:val="000000"/>
        </w:rPr>
        <w:t>endikasyonlarında</w:t>
      </w:r>
      <w:proofErr w:type="spellEnd"/>
      <w:r w:rsidRPr="00D87008">
        <w:rPr>
          <w:color w:val="000000"/>
        </w:rPr>
        <w:t xml:space="preserve"> ise </w:t>
      </w:r>
      <w:proofErr w:type="spellStart"/>
      <w:r w:rsidRPr="00D87008">
        <w:rPr>
          <w:color w:val="000000"/>
        </w:rPr>
        <w:t>steroid</w:t>
      </w:r>
      <w:proofErr w:type="spellEnd"/>
      <w:r w:rsidRPr="00D87008">
        <w:rPr>
          <w:color w:val="000000"/>
        </w:rPr>
        <w:t xml:space="preserve"> tedavisine (</w:t>
      </w:r>
      <w:proofErr w:type="spellStart"/>
      <w:r w:rsidRPr="00D87008">
        <w:rPr>
          <w:color w:val="000000"/>
        </w:rPr>
        <w:t>puls</w:t>
      </w:r>
      <w:proofErr w:type="spellEnd"/>
      <w:r w:rsidRPr="00D87008">
        <w:rPr>
          <w:color w:val="000000"/>
        </w:rPr>
        <w:t xml:space="preserve"> ve idame tedavisine en az 6 ay) yetersiz cevap vey</w:t>
      </w:r>
      <w:r>
        <w:rPr>
          <w:color w:val="000000"/>
        </w:rPr>
        <w:t xml:space="preserve">a </w:t>
      </w:r>
      <w:proofErr w:type="spellStart"/>
      <w:r>
        <w:rPr>
          <w:color w:val="000000"/>
        </w:rPr>
        <w:t>steroid</w:t>
      </w:r>
      <w:proofErr w:type="spellEnd"/>
      <w:r>
        <w:rPr>
          <w:color w:val="000000"/>
        </w:rPr>
        <w:t xml:space="preserve"> tedavisine kanıtlanmış</w:t>
      </w:r>
      <w:r w:rsidRPr="00D87008">
        <w:rPr>
          <w:color w:val="000000"/>
        </w:rPr>
        <w:t xml:space="preserve"> </w:t>
      </w:r>
      <w:proofErr w:type="gramStart"/>
      <w:r w:rsidRPr="00D87008">
        <w:rPr>
          <w:color w:val="000000"/>
        </w:rPr>
        <w:t>komplikasyon</w:t>
      </w:r>
      <w:proofErr w:type="gramEnd"/>
      <w:r w:rsidRPr="00D87008">
        <w:rPr>
          <w:color w:val="000000"/>
        </w:rPr>
        <w:t xml:space="preserve"> ve/veya </w:t>
      </w:r>
      <w:proofErr w:type="spellStart"/>
      <w:r w:rsidRPr="00D87008">
        <w:rPr>
          <w:color w:val="000000"/>
        </w:rPr>
        <w:t>kontrendikasyon</w:t>
      </w:r>
      <w:proofErr w:type="spellEnd"/>
      <w:r w:rsidRPr="00D87008">
        <w:rPr>
          <w:color w:val="000000"/>
        </w:rPr>
        <w:t xml:space="preserve"> durumlarında </w:t>
      </w:r>
      <w:r w:rsidRPr="00D87008">
        <w:rPr>
          <w:b/>
          <w:color w:val="000000"/>
        </w:rPr>
        <w:t>nöroloji uzman hekimleri</w:t>
      </w:r>
      <w:r w:rsidRPr="00D87008">
        <w:rPr>
          <w:color w:val="000000"/>
        </w:rPr>
        <w:t xml:space="preserve"> tarafından </w:t>
      </w:r>
      <w:r w:rsidRPr="00D87008">
        <w:rPr>
          <w:b/>
          <w:color w:val="000000"/>
        </w:rPr>
        <w:t xml:space="preserve">1 yıl süreyle düzenlenen </w:t>
      </w:r>
      <w:r w:rsidRPr="00D87008">
        <w:rPr>
          <w:color w:val="000000"/>
        </w:rPr>
        <w:t xml:space="preserve">uzman hekim raporuna istinaden ilgili uzman hekimlerce, reçete edilebilir. (Bu </w:t>
      </w:r>
      <w:proofErr w:type="spellStart"/>
      <w:r w:rsidRPr="00D87008">
        <w:rPr>
          <w:color w:val="000000"/>
        </w:rPr>
        <w:t>endikasyonlar</w:t>
      </w:r>
      <w:proofErr w:type="spellEnd"/>
      <w:r w:rsidRPr="00D87008">
        <w:rPr>
          <w:color w:val="000000"/>
        </w:rPr>
        <w:t xml:space="preserve"> için</w:t>
      </w:r>
      <w:r>
        <w:rPr>
          <w:color w:val="000000"/>
        </w:rPr>
        <w:t xml:space="preserve"> Sağlık Bakanlığı </w:t>
      </w:r>
      <w:proofErr w:type="spellStart"/>
      <w:r>
        <w:rPr>
          <w:color w:val="000000"/>
        </w:rPr>
        <w:t>endikasyon</w:t>
      </w:r>
      <w:proofErr w:type="spellEnd"/>
      <w:r>
        <w:rPr>
          <w:color w:val="000000"/>
        </w:rPr>
        <w:t xml:space="preserve"> dış</w:t>
      </w:r>
      <w:r w:rsidRPr="00D87008">
        <w:rPr>
          <w:color w:val="000000"/>
        </w:rPr>
        <w:t xml:space="preserve">ı onayı aranmaz.) </w:t>
      </w:r>
    </w:p>
    <w:p w:rsidR="00AE41F9" w:rsidRDefault="00AE41F9">
      <w:pPr>
        <w:rPr>
          <w:color w:val="000000"/>
        </w:rPr>
      </w:pPr>
    </w:p>
    <w:p w:rsidR="00D87008" w:rsidRPr="00957401" w:rsidRDefault="00D87008">
      <w:pPr>
        <w:rPr>
          <w:b/>
          <w:color w:val="000000"/>
        </w:rPr>
      </w:pPr>
      <w:r w:rsidRPr="00957401">
        <w:rPr>
          <w:b/>
          <w:color w:val="000000"/>
        </w:rPr>
        <w:lastRenderedPageBreak/>
        <w:t xml:space="preserve">4.2.13.1 - Kronik Hepatit B tedavisi </w:t>
      </w:r>
    </w:p>
    <w:p w:rsidR="00D87008" w:rsidRDefault="00D87008">
      <w:pPr>
        <w:rPr>
          <w:color w:val="000000"/>
        </w:rPr>
      </w:pPr>
      <w:r w:rsidRPr="00D87008">
        <w:rPr>
          <w:color w:val="000000"/>
        </w:rPr>
        <w:t>(7) Kronik hepatit B tedavisinde daha önce kullan</w:t>
      </w:r>
      <w:r>
        <w:rPr>
          <w:color w:val="000000"/>
        </w:rPr>
        <w:t>ılan ilaçlar, tanı, tedaviye baş</w:t>
      </w:r>
      <w:r w:rsidRPr="00D87008">
        <w:rPr>
          <w:color w:val="000000"/>
        </w:rPr>
        <w:t xml:space="preserve">lama ve kesilme </w:t>
      </w:r>
      <w:proofErr w:type="gramStart"/>
      <w:r w:rsidRPr="00D87008">
        <w:rPr>
          <w:color w:val="000000"/>
        </w:rPr>
        <w:t>kriterleri</w:t>
      </w:r>
      <w:proofErr w:type="gramEnd"/>
      <w:r w:rsidRPr="00D87008">
        <w:rPr>
          <w:color w:val="000000"/>
        </w:rPr>
        <w:t xml:space="preserve"> gibi bilgilerin raporda belirtilmesi gerekmektedir.</w:t>
      </w:r>
    </w:p>
    <w:p w:rsidR="00D87008" w:rsidRPr="00AE41F9" w:rsidRDefault="00D87008">
      <w:pPr>
        <w:rPr>
          <w:b/>
          <w:color w:val="000000"/>
        </w:rPr>
      </w:pPr>
      <w:r w:rsidRPr="00957401">
        <w:rPr>
          <w:b/>
          <w:color w:val="000000"/>
        </w:rPr>
        <w:t xml:space="preserve"> </w:t>
      </w:r>
      <w:r w:rsidR="00F20D5D" w:rsidRPr="00957401">
        <w:rPr>
          <w:b/>
          <w:color w:val="000000"/>
        </w:rPr>
        <w:t xml:space="preserve">Ek </w:t>
      </w:r>
      <w:r w:rsidR="00AE41F9">
        <w:rPr>
          <w:b/>
          <w:color w:val="000000"/>
        </w:rPr>
        <w:t xml:space="preserve"> </w:t>
      </w:r>
      <w:r w:rsidRPr="00D87008">
        <w:rPr>
          <w:color w:val="000000"/>
        </w:rPr>
        <w:t xml:space="preserve">(8) Oral </w:t>
      </w:r>
      <w:proofErr w:type="spellStart"/>
      <w:r w:rsidRPr="00D87008">
        <w:rPr>
          <w:color w:val="000000"/>
        </w:rPr>
        <w:t>antiviral</w:t>
      </w:r>
      <w:proofErr w:type="spellEnd"/>
      <w:r w:rsidRPr="00D87008">
        <w:rPr>
          <w:color w:val="000000"/>
        </w:rPr>
        <w:t xml:space="preserve"> tedavilerde ilk rapor süresi en fazla 6 ay, sonraki rapor süreleri bir yılı geçemez.</w:t>
      </w:r>
    </w:p>
    <w:p w:rsidR="00F20D5D" w:rsidRPr="00957401" w:rsidRDefault="00F20D5D">
      <w:pPr>
        <w:rPr>
          <w:b/>
          <w:color w:val="000000"/>
        </w:rPr>
      </w:pPr>
      <w:r w:rsidRPr="00957401">
        <w:rPr>
          <w:b/>
          <w:color w:val="000000"/>
        </w:rPr>
        <w:t xml:space="preserve">4.2.14.C - Özel düzenleme yapılan ilaçlar; </w:t>
      </w:r>
    </w:p>
    <w:p w:rsidR="00D87008" w:rsidRDefault="00F20D5D">
      <w:pPr>
        <w:rPr>
          <w:color w:val="000000"/>
        </w:rPr>
      </w:pPr>
      <w:r w:rsidRPr="00F20D5D">
        <w:rPr>
          <w:color w:val="000000"/>
        </w:rPr>
        <w:t xml:space="preserve">(1) </w:t>
      </w:r>
      <w:proofErr w:type="spellStart"/>
      <w:r w:rsidRPr="00F20D5D">
        <w:rPr>
          <w:color w:val="000000"/>
        </w:rPr>
        <w:t>Fotemustin</w:t>
      </w:r>
      <w:proofErr w:type="spellEnd"/>
      <w:r w:rsidR="00FA4871" w:rsidRPr="00FA4871">
        <w:rPr>
          <w:b/>
          <w:color w:val="000000"/>
        </w:rPr>
        <w:t>(MUPHORAN)</w:t>
      </w:r>
      <w:r w:rsidRPr="00F20D5D">
        <w:rPr>
          <w:color w:val="000000"/>
        </w:rPr>
        <w:t xml:space="preserve">, </w:t>
      </w:r>
      <w:proofErr w:type="spellStart"/>
      <w:r w:rsidRPr="00F20D5D">
        <w:rPr>
          <w:color w:val="000000"/>
        </w:rPr>
        <w:t>gefinitib</w:t>
      </w:r>
      <w:proofErr w:type="spellEnd"/>
      <w:r w:rsidRPr="00F20D5D">
        <w:rPr>
          <w:color w:val="000000"/>
        </w:rPr>
        <w:t>, interleukin-2</w:t>
      </w:r>
      <w:r w:rsidR="00FA4871" w:rsidRPr="00FA4871">
        <w:rPr>
          <w:b/>
          <w:color w:val="000000"/>
        </w:rPr>
        <w:t>(PRELEUKİN)</w:t>
      </w:r>
      <w:r w:rsidRPr="00F20D5D">
        <w:rPr>
          <w:color w:val="000000"/>
        </w:rPr>
        <w:t xml:space="preserve">, </w:t>
      </w:r>
      <w:proofErr w:type="spellStart"/>
      <w:r w:rsidRPr="00F20D5D">
        <w:rPr>
          <w:color w:val="000000"/>
        </w:rPr>
        <w:t>octreotid</w:t>
      </w:r>
      <w:proofErr w:type="spellEnd"/>
      <w:r w:rsidR="00FA4871" w:rsidRPr="008C6436">
        <w:rPr>
          <w:b/>
          <w:color w:val="000000"/>
        </w:rPr>
        <w:t>(SANDOSTATİN)</w:t>
      </w:r>
      <w:r w:rsidRPr="00F20D5D">
        <w:rPr>
          <w:color w:val="000000"/>
        </w:rPr>
        <w:t xml:space="preserve">, </w:t>
      </w:r>
      <w:proofErr w:type="spellStart"/>
      <w:r w:rsidRPr="00F20D5D">
        <w:rPr>
          <w:color w:val="000000"/>
        </w:rPr>
        <w:t>lanreotid</w:t>
      </w:r>
      <w:proofErr w:type="spellEnd"/>
      <w:r w:rsidRPr="00F20D5D">
        <w:rPr>
          <w:color w:val="000000"/>
        </w:rPr>
        <w:t xml:space="preserve">, </w:t>
      </w:r>
      <w:proofErr w:type="spellStart"/>
      <w:r w:rsidRPr="00F20D5D">
        <w:rPr>
          <w:color w:val="000000"/>
        </w:rPr>
        <w:t>streptozosin</w:t>
      </w:r>
      <w:proofErr w:type="spellEnd"/>
      <w:r w:rsidR="008C6436" w:rsidRPr="008C6436">
        <w:rPr>
          <w:b/>
          <w:color w:val="000000"/>
        </w:rPr>
        <w:t>(ZANOSAR)</w:t>
      </w:r>
      <w:r w:rsidRPr="00F20D5D">
        <w:rPr>
          <w:color w:val="000000"/>
        </w:rPr>
        <w:t>; tıbbi onkoloji uzman hekiminin yer aldığı sağlık kurulu raporu ile bu hekimlerce veya bu sağlık kurulu raporuna dayanılarak ikinci ve üçüncü basamak sağlık kurumlarında tüm uzman hekimlerce reçete edilir.</w:t>
      </w:r>
    </w:p>
    <w:p w:rsidR="005A58D4" w:rsidRDefault="00F20D5D">
      <w:pPr>
        <w:rPr>
          <w:color w:val="000000"/>
        </w:rPr>
      </w:pPr>
      <w:r w:rsidRPr="005A58D4">
        <w:rPr>
          <w:color w:val="000000"/>
        </w:rPr>
        <w:t xml:space="preserve">n) </w:t>
      </w:r>
      <w:proofErr w:type="spellStart"/>
      <w:r w:rsidRPr="005A58D4">
        <w:rPr>
          <w:color w:val="000000"/>
        </w:rPr>
        <w:t>Lenalidomid</w:t>
      </w:r>
      <w:proofErr w:type="spellEnd"/>
      <w:r w:rsidR="008C6436" w:rsidRPr="008C6436">
        <w:rPr>
          <w:b/>
          <w:color w:val="000000"/>
        </w:rPr>
        <w:t>(</w:t>
      </w:r>
      <w:proofErr w:type="gramStart"/>
      <w:r w:rsidR="008C6436" w:rsidRPr="008C6436">
        <w:rPr>
          <w:b/>
          <w:color w:val="000000"/>
        </w:rPr>
        <w:t>REVLİMİD,RİVELİME</w:t>
      </w:r>
      <w:proofErr w:type="gramEnd"/>
      <w:r w:rsidR="008C6436" w:rsidRPr="008C6436">
        <w:rPr>
          <w:b/>
          <w:color w:val="000000"/>
        </w:rPr>
        <w:t>)</w:t>
      </w:r>
      <w:r w:rsidRPr="005A58D4">
        <w:rPr>
          <w:color w:val="000000"/>
        </w:rPr>
        <w:t>;</w:t>
      </w:r>
    </w:p>
    <w:p w:rsidR="00F20D5D" w:rsidRPr="005A58D4" w:rsidRDefault="00F20D5D">
      <w:pPr>
        <w:rPr>
          <w:color w:val="000000"/>
        </w:rPr>
      </w:pPr>
      <w:r w:rsidRPr="005A58D4">
        <w:rPr>
          <w:color w:val="000000"/>
        </w:rPr>
        <w:t xml:space="preserve"> 3) Daha önceden </w:t>
      </w:r>
      <w:proofErr w:type="spellStart"/>
      <w:r w:rsidRPr="005A58D4">
        <w:rPr>
          <w:color w:val="000000"/>
        </w:rPr>
        <w:t>bortezomib</w:t>
      </w:r>
      <w:proofErr w:type="spellEnd"/>
      <w:r w:rsidRPr="005A58D4">
        <w:rPr>
          <w:color w:val="000000"/>
        </w:rPr>
        <w:t xml:space="preserve"> veya </w:t>
      </w:r>
      <w:proofErr w:type="spellStart"/>
      <w:r w:rsidRPr="005A58D4">
        <w:rPr>
          <w:color w:val="000000"/>
        </w:rPr>
        <w:t>bortezomib</w:t>
      </w:r>
      <w:proofErr w:type="spellEnd"/>
      <w:r w:rsidRPr="005A58D4">
        <w:rPr>
          <w:color w:val="000000"/>
        </w:rPr>
        <w:t xml:space="preserve"> içer</w:t>
      </w:r>
      <w:r w:rsidR="005A58D4">
        <w:rPr>
          <w:color w:val="000000"/>
        </w:rPr>
        <w:t xml:space="preserve">en </w:t>
      </w:r>
      <w:proofErr w:type="gramStart"/>
      <w:r w:rsidR="005A58D4">
        <w:rPr>
          <w:color w:val="000000"/>
        </w:rPr>
        <w:t>kombinasyonlarla</w:t>
      </w:r>
      <w:proofErr w:type="gramEnd"/>
      <w:r w:rsidR="005A58D4">
        <w:rPr>
          <w:color w:val="000000"/>
        </w:rPr>
        <w:t xml:space="preserve"> tedavisi baş</w:t>
      </w:r>
      <w:r w:rsidRPr="005A58D4">
        <w:rPr>
          <w:color w:val="000000"/>
        </w:rPr>
        <w:t xml:space="preserve">arısız olan </w:t>
      </w:r>
      <w:proofErr w:type="spellStart"/>
      <w:r w:rsidRPr="005A58D4">
        <w:rPr>
          <w:color w:val="000000"/>
        </w:rPr>
        <w:t>nüks</w:t>
      </w:r>
      <w:proofErr w:type="spellEnd"/>
      <w:r w:rsidRPr="005A58D4">
        <w:rPr>
          <w:color w:val="000000"/>
        </w:rPr>
        <w:t xml:space="preserve"> veya dirençli </w:t>
      </w:r>
      <w:proofErr w:type="spellStart"/>
      <w:r w:rsidRPr="005A58D4">
        <w:rPr>
          <w:color w:val="000000"/>
        </w:rPr>
        <w:t>mantle</w:t>
      </w:r>
      <w:proofErr w:type="spellEnd"/>
      <w:r w:rsidRPr="005A58D4">
        <w:rPr>
          <w:color w:val="000000"/>
        </w:rPr>
        <w:t xml:space="preserve"> hücreli </w:t>
      </w:r>
      <w:proofErr w:type="spellStart"/>
      <w:r w:rsidRPr="005A58D4">
        <w:rPr>
          <w:color w:val="000000"/>
        </w:rPr>
        <w:t>lenfoma</w:t>
      </w:r>
      <w:proofErr w:type="spellEnd"/>
      <w:r w:rsidRPr="005A58D4">
        <w:rPr>
          <w:color w:val="000000"/>
        </w:rPr>
        <w:t xml:space="preserve"> tedavisinde, bu durumların belirtildiği hematoloji ve/veya onkoloji uzmanının yer aldığı 3 ay süreli sağlık kurulu raporuna dayanılarak yine bu hekimler tarafından reçete e</w:t>
      </w:r>
      <w:r w:rsidR="005A58D4">
        <w:rPr>
          <w:color w:val="000000"/>
        </w:rPr>
        <w:t xml:space="preserve">dilmesi halinde </w:t>
      </w:r>
      <w:proofErr w:type="spellStart"/>
      <w:r w:rsidR="005A58D4">
        <w:rPr>
          <w:color w:val="000000"/>
        </w:rPr>
        <w:t>progresyon</w:t>
      </w:r>
      <w:proofErr w:type="spellEnd"/>
      <w:r w:rsidR="005A58D4">
        <w:rPr>
          <w:color w:val="000000"/>
        </w:rPr>
        <w:t xml:space="preserve"> gelişene kadar Kurumca bedeli karş</w:t>
      </w:r>
      <w:r w:rsidRPr="005A58D4">
        <w:rPr>
          <w:color w:val="000000"/>
        </w:rPr>
        <w:t>ılanır.</w:t>
      </w:r>
    </w:p>
    <w:p w:rsidR="005A58D4" w:rsidRDefault="00F20D5D">
      <w:pPr>
        <w:rPr>
          <w:color w:val="000000"/>
        </w:rPr>
      </w:pPr>
      <w:proofErr w:type="spellStart"/>
      <w:r w:rsidRPr="005A58D4">
        <w:rPr>
          <w:color w:val="000000"/>
        </w:rPr>
        <w:t>nn</w:t>
      </w:r>
      <w:proofErr w:type="spellEnd"/>
      <w:r w:rsidRPr="005A58D4">
        <w:rPr>
          <w:color w:val="000000"/>
        </w:rPr>
        <w:t xml:space="preserve">) </w:t>
      </w:r>
      <w:proofErr w:type="spellStart"/>
      <w:r w:rsidRPr="005A58D4">
        <w:rPr>
          <w:color w:val="000000"/>
        </w:rPr>
        <w:t>Bevasizumab</w:t>
      </w:r>
      <w:proofErr w:type="spellEnd"/>
      <w:r w:rsidR="008C6436" w:rsidRPr="008C6436">
        <w:rPr>
          <w:b/>
          <w:color w:val="000000"/>
        </w:rPr>
        <w:t>(ALTUZAN)</w:t>
      </w:r>
      <w:r w:rsidRPr="005A58D4">
        <w:rPr>
          <w:color w:val="000000"/>
        </w:rPr>
        <w:t xml:space="preserve">; </w:t>
      </w:r>
    </w:p>
    <w:p w:rsidR="005A58D4" w:rsidRDefault="00F20D5D">
      <w:pPr>
        <w:rPr>
          <w:color w:val="000000"/>
        </w:rPr>
      </w:pPr>
      <w:r w:rsidRPr="005A58D4">
        <w:rPr>
          <w:color w:val="000000"/>
        </w:rPr>
        <w:t xml:space="preserve">1) </w:t>
      </w:r>
      <w:proofErr w:type="spellStart"/>
      <w:r w:rsidRPr="005A58D4">
        <w:rPr>
          <w:color w:val="000000"/>
        </w:rPr>
        <w:t>Metastatik</w:t>
      </w:r>
      <w:proofErr w:type="spellEnd"/>
      <w:r w:rsidRPr="005A58D4">
        <w:rPr>
          <w:color w:val="000000"/>
        </w:rPr>
        <w:t xml:space="preserve"> </w:t>
      </w:r>
      <w:proofErr w:type="spellStart"/>
      <w:r w:rsidRPr="005A58D4">
        <w:rPr>
          <w:color w:val="000000"/>
        </w:rPr>
        <w:t>kolorektal</w:t>
      </w:r>
      <w:proofErr w:type="spellEnd"/>
      <w:r w:rsidRPr="005A58D4">
        <w:rPr>
          <w:color w:val="000000"/>
        </w:rPr>
        <w:t xml:space="preserve"> kanser tedavisinde; </w:t>
      </w:r>
    </w:p>
    <w:p w:rsidR="005A58D4" w:rsidRDefault="00F20D5D">
      <w:pPr>
        <w:rPr>
          <w:color w:val="000000"/>
        </w:rPr>
      </w:pPr>
      <w:r w:rsidRPr="005A58D4">
        <w:rPr>
          <w:color w:val="000000"/>
        </w:rPr>
        <w:t>a) 5-florourasil/</w:t>
      </w:r>
      <w:proofErr w:type="spellStart"/>
      <w:r w:rsidRPr="005A58D4">
        <w:rPr>
          <w:color w:val="000000"/>
        </w:rPr>
        <w:t>folinik</w:t>
      </w:r>
      <w:proofErr w:type="spellEnd"/>
      <w:r w:rsidRPr="005A58D4">
        <w:rPr>
          <w:color w:val="000000"/>
        </w:rPr>
        <w:t xml:space="preserve"> asit veya 5- </w:t>
      </w:r>
      <w:proofErr w:type="spellStart"/>
      <w:r w:rsidRPr="005A58D4">
        <w:rPr>
          <w:color w:val="000000"/>
        </w:rPr>
        <w:t>florourasil</w:t>
      </w:r>
      <w:proofErr w:type="spellEnd"/>
      <w:r w:rsidRPr="005A58D4">
        <w:rPr>
          <w:color w:val="000000"/>
        </w:rPr>
        <w:t>/</w:t>
      </w:r>
      <w:proofErr w:type="spellStart"/>
      <w:r w:rsidRPr="005A58D4">
        <w:rPr>
          <w:color w:val="000000"/>
        </w:rPr>
        <w:t>folinik</w:t>
      </w:r>
      <w:proofErr w:type="spellEnd"/>
      <w:r w:rsidRPr="005A58D4">
        <w:rPr>
          <w:color w:val="000000"/>
        </w:rPr>
        <w:t xml:space="preserve"> asit/</w:t>
      </w:r>
      <w:proofErr w:type="spellStart"/>
      <w:r w:rsidRPr="005A58D4">
        <w:rPr>
          <w:color w:val="000000"/>
        </w:rPr>
        <w:t>irinotekan</w:t>
      </w:r>
      <w:proofErr w:type="spellEnd"/>
      <w:r w:rsidRPr="005A58D4">
        <w:rPr>
          <w:color w:val="000000"/>
        </w:rPr>
        <w:t xml:space="preserve"> ile kombine olarak </w:t>
      </w:r>
      <w:proofErr w:type="spellStart"/>
      <w:r w:rsidRPr="005A58D4">
        <w:rPr>
          <w:color w:val="000000"/>
        </w:rPr>
        <w:t>metastatik</w:t>
      </w:r>
      <w:proofErr w:type="spellEnd"/>
      <w:r w:rsidRPr="005A58D4">
        <w:rPr>
          <w:color w:val="000000"/>
        </w:rPr>
        <w:t xml:space="preserve"> kolon veya </w:t>
      </w:r>
      <w:proofErr w:type="spellStart"/>
      <w:r w:rsidRPr="005A58D4">
        <w:rPr>
          <w:color w:val="000000"/>
        </w:rPr>
        <w:t>metastatik</w:t>
      </w:r>
      <w:proofErr w:type="spellEnd"/>
      <w:r w:rsidRPr="005A58D4">
        <w:rPr>
          <w:color w:val="000000"/>
        </w:rPr>
        <w:t xml:space="preserve"> rektum kanserinin birinci basamak tedavisinde kullanıl</w:t>
      </w:r>
      <w:r w:rsidR="005A58D4">
        <w:rPr>
          <w:color w:val="000000"/>
        </w:rPr>
        <w:t>ması halinde bedeli Kurumca karş</w:t>
      </w:r>
      <w:r w:rsidRPr="005A58D4">
        <w:rPr>
          <w:color w:val="000000"/>
        </w:rPr>
        <w:t>ılanır.</w:t>
      </w:r>
    </w:p>
    <w:p w:rsidR="005A58D4" w:rsidRDefault="00F20D5D">
      <w:pPr>
        <w:rPr>
          <w:color w:val="000000"/>
        </w:rPr>
      </w:pPr>
      <w:r w:rsidRPr="005A58D4">
        <w:rPr>
          <w:color w:val="000000"/>
        </w:rPr>
        <w:t xml:space="preserve"> b) Daha önceki basamaklarda </w:t>
      </w:r>
      <w:proofErr w:type="spellStart"/>
      <w:r w:rsidRPr="005A58D4">
        <w:rPr>
          <w:color w:val="000000"/>
        </w:rPr>
        <w:t>bevasizumabın</w:t>
      </w:r>
      <w:proofErr w:type="spellEnd"/>
      <w:r w:rsidRPr="005A58D4">
        <w:rPr>
          <w:color w:val="000000"/>
        </w:rPr>
        <w:t xml:space="preserve"> kullanılmadığı </w:t>
      </w:r>
      <w:proofErr w:type="spellStart"/>
      <w:r w:rsidRPr="005A58D4">
        <w:rPr>
          <w:color w:val="000000"/>
        </w:rPr>
        <w:t>metastatik</w:t>
      </w:r>
      <w:proofErr w:type="spellEnd"/>
      <w:r w:rsidRPr="005A58D4">
        <w:rPr>
          <w:color w:val="000000"/>
        </w:rPr>
        <w:t xml:space="preserve"> kolon veya </w:t>
      </w:r>
      <w:proofErr w:type="spellStart"/>
      <w:r w:rsidRPr="005A58D4">
        <w:rPr>
          <w:color w:val="000000"/>
        </w:rPr>
        <w:t>metastatik</w:t>
      </w:r>
      <w:proofErr w:type="spellEnd"/>
      <w:r w:rsidRPr="005A58D4">
        <w:rPr>
          <w:color w:val="000000"/>
        </w:rPr>
        <w:t xml:space="preserve"> rektum kanserinin ikinci ve sonraki basamak tedavilerinde 5- </w:t>
      </w:r>
      <w:proofErr w:type="spellStart"/>
      <w:r w:rsidRPr="005A58D4">
        <w:rPr>
          <w:color w:val="000000"/>
        </w:rPr>
        <w:t>florourasil</w:t>
      </w:r>
      <w:proofErr w:type="spellEnd"/>
      <w:r w:rsidRPr="005A58D4">
        <w:rPr>
          <w:color w:val="000000"/>
        </w:rPr>
        <w:t>/</w:t>
      </w:r>
      <w:proofErr w:type="spellStart"/>
      <w:r w:rsidRPr="005A58D4">
        <w:rPr>
          <w:color w:val="000000"/>
        </w:rPr>
        <w:t>folinik</w:t>
      </w:r>
      <w:proofErr w:type="spellEnd"/>
      <w:r w:rsidRPr="005A58D4">
        <w:rPr>
          <w:color w:val="000000"/>
        </w:rPr>
        <w:t xml:space="preserve"> asit veya 5- </w:t>
      </w:r>
      <w:proofErr w:type="spellStart"/>
      <w:r w:rsidRPr="005A58D4">
        <w:rPr>
          <w:color w:val="000000"/>
        </w:rPr>
        <w:t>florourasil</w:t>
      </w:r>
      <w:proofErr w:type="spellEnd"/>
      <w:r w:rsidRPr="005A58D4">
        <w:rPr>
          <w:color w:val="000000"/>
        </w:rPr>
        <w:t>/</w:t>
      </w:r>
      <w:proofErr w:type="spellStart"/>
      <w:r w:rsidRPr="005A58D4">
        <w:rPr>
          <w:color w:val="000000"/>
        </w:rPr>
        <w:t>folinik</w:t>
      </w:r>
      <w:proofErr w:type="spellEnd"/>
      <w:r w:rsidRPr="005A58D4">
        <w:rPr>
          <w:color w:val="000000"/>
        </w:rPr>
        <w:t xml:space="preserve"> asit/</w:t>
      </w:r>
      <w:proofErr w:type="spellStart"/>
      <w:r w:rsidRPr="005A58D4">
        <w:rPr>
          <w:color w:val="000000"/>
        </w:rPr>
        <w:t>irinotekan</w:t>
      </w:r>
      <w:proofErr w:type="spellEnd"/>
      <w:r w:rsidRPr="005A58D4">
        <w:rPr>
          <w:color w:val="000000"/>
        </w:rPr>
        <w:t xml:space="preserve"> ile kombine olarak kullanılması halinde bedeli </w:t>
      </w:r>
      <w:r w:rsidR="005A58D4">
        <w:rPr>
          <w:color w:val="000000"/>
        </w:rPr>
        <w:t>Kurumca karş</w:t>
      </w:r>
      <w:r w:rsidRPr="005A58D4">
        <w:rPr>
          <w:color w:val="000000"/>
        </w:rPr>
        <w:t>ılanır.</w:t>
      </w:r>
    </w:p>
    <w:p w:rsidR="005A58D4" w:rsidRDefault="00F20D5D">
      <w:pPr>
        <w:rPr>
          <w:color w:val="000000"/>
        </w:rPr>
      </w:pPr>
      <w:r w:rsidRPr="005A58D4">
        <w:rPr>
          <w:color w:val="000000"/>
        </w:rPr>
        <w:t xml:space="preserve"> c) Daha önce </w:t>
      </w:r>
      <w:proofErr w:type="spellStart"/>
      <w:r w:rsidRPr="005A58D4">
        <w:rPr>
          <w:color w:val="000000"/>
        </w:rPr>
        <w:t>ad</w:t>
      </w:r>
      <w:r w:rsidR="005A58D4">
        <w:rPr>
          <w:color w:val="000000"/>
        </w:rPr>
        <w:t>juvant</w:t>
      </w:r>
      <w:proofErr w:type="spellEnd"/>
      <w:r w:rsidR="005A58D4">
        <w:rPr>
          <w:color w:val="000000"/>
        </w:rPr>
        <w:t xml:space="preserve"> amaçlı </w:t>
      </w:r>
      <w:proofErr w:type="gramStart"/>
      <w:r w:rsidR="005A58D4">
        <w:rPr>
          <w:color w:val="000000"/>
        </w:rPr>
        <w:t>kemoterapi</w:t>
      </w:r>
      <w:proofErr w:type="gramEnd"/>
      <w:r w:rsidR="005A58D4">
        <w:rPr>
          <w:color w:val="000000"/>
        </w:rPr>
        <w:t xml:space="preserve"> almamış</w:t>
      </w:r>
      <w:r w:rsidRPr="005A58D4">
        <w:rPr>
          <w:color w:val="000000"/>
        </w:rPr>
        <w:t xml:space="preserve"> olan </w:t>
      </w:r>
      <w:proofErr w:type="spellStart"/>
      <w:r w:rsidRPr="005A58D4">
        <w:rPr>
          <w:color w:val="000000"/>
        </w:rPr>
        <w:t>metastatik</w:t>
      </w:r>
      <w:proofErr w:type="spellEnd"/>
      <w:r w:rsidRPr="005A58D4">
        <w:rPr>
          <w:color w:val="000000"/>
        </w:rPr>
        <w:t xml:space="preserve"> kolon veya </w:t>
      </w:r>
      <w:proofErr w:type="spellStart"/>
      <w:r w:rsidRPr="005A58D4">
        <w:rPr>
          <w:color w:val="000000"/>
        </w:rPr>
        <w:t>metastatik</w:t>
      </w:r>
      <w:proofErr w:type="spellEnd"/>
      <w:r w:rsidRPr="005A58D4">
        <w:rPr>
          <w:color w:val="000000"/>
        </w:rPr>
        <w:t xml:space="preserve"> rektum kanserli hastalarda, birinci basamak tedavi olarak </w:t>
      </w:r>
      <w:proofErr w:type="spellStart"/>
      <w:r w:rsidRPr="005A58D4">
        <w:rPr>
          <w:color w:val="000000"/>
        </w:rPr>
        <w:t>okzaliplatin</w:t>
      </w:r>
      <w:proofErr w:type="spellEnd"/>
      <w:r w:rsidRPr="005A58D4">
        <w:rPr>
          <w:color w:val="000000"/>
        </w:rPr>
        <w:t xml:space="preserve"> ile </w:t>
      </w:r>
      <w:proofErr w:type="spellStart"/>
      <w:r w:rsidRPr="005A58D4">
        <w:rPr>
          <w:color w:val="000000"/>
        </w:rPr>
        <w:t>kapesitabin</w:t>
      </w:r>
      <w:proofErr w:type="spellEnd"/>
      <w:r w:rsidRPr="005A58D4">
        <w:rPr>
          <w:color w:val="000000"/>
        </w:rPr>
        <w:t xml:space="preserve"> veya 5- </w:t>
      </w:r>
      <w:proofErr w:type="spellStart"/>
      <w:r w:rsidRPr="005A58D4">
        <w:rPr>
          <w:color w:val="000000"/>
        </w:rPr>
        <w:t>florourasil</w:t>
      </w:r>
      <w:proofErr w:type="spellEnd"/>
      <w:r w:rsidRPr="005A58D4">
        <w:rPr>
          <w:color w:val="000000"/>
        </w:rPr>
        <w:t>/</w:t>
      </w:r>
      <w:proofErr w:type="spellStart"/>
      <w:r w:rsidRPr="005A58D4">
        <w:rPr>
          <w:color w:val="000000"/>
        </w:rPr>
        <w:t>folinik</w:t>
      </w:r>
      <w:proofErr w:type="spellEnd"/>
      <w:r w:rsidRPr="005A58D4">
        <w:rPr>
          <w:color w:val="000000"/>
        </w:rPr>
        <w:t xml:space="preserve"> asit ile kombine olarak kullanılmas</w:t>
      </w:r>
      <w:r w:rsidR="005A58D4">
        <w:rPr>
          <w:color w:val="000000"/>
        </w:rPr>
        <w:t>ı halinde bedeli Kurumca karş</w:t>
      </w:r>
      <w:r w:rsidRPr="005A58D4">
        <w:rPr>
          <w:color w:val="000000"/>
        </w:rPr>
        <w:t>ılanır</w:t>
      </w:r>
      <w:r w:rsidR="005A58D4">
        <w:rPr>
          <w:color w:val="000000"/>
        </w:rPr>
        <w:t>.</w:t>
      </w:r>
    </w:p>
    <w:p w:rsidR="005A58D4" w:rsidRDefault="00F20D5D">
      <w:pPr>
        <w:rPr>
          <w:color w:val="000000"/>
        </w:rPr>
      </w:pPr>
      <w:r w:rsidRPr="005A58D4">
        <w:rPr>
          <w:color w:val="000000"/>
        </w:rPr>
        <w:t xml:space="preserve"> 2) </w:t>
      </w:r>
      <w:proofErr w:type="spellStart"/>
      <w:r w:rsidRPr="005A58D4">
        <w:rPr>
          <w:color w:val="000000"/>
        </w:rPr>
        <w:t>Malign</w:t>
      </w:r>
      <w:proofErr w:type="spellEnd"/>
      <w:r w:rsidRPr="005A58D4">
        <w:rPr>
          <w:color w:val="000000"/>
        </w:rPr>
        <w:t xml:space="preserve"> </w:t>
      </w:r>
      <w:proofErr w:type="spellStart"/>
      <w:r w:rsidRPr="005A58D4">
        <w:rPr>
          <w:color w:val="000000"/>
        </w:rPr>
        <w:t>glioma</w:t>
      </w:r>
      <w:proofErr w:type="spellEnd"/>
      <w:r w:rsidRPr="005A58D4">
        <w:rPr>
          <w:color w:val="000000"/>
        </w:rPr>
        <w:t xml:space="preserve"> (DSÖ evre IV)– </w:t>
      </w:r>
      <w:proofErr w:type="spellStart"/>
      <w:r w:rsidRPr="005A58D4">
        <w:rPr>
          <w:color w:val="000000"/>
        </w:rPr>
        <w:t>glioblastoma</w:t>
      </w:r>
      <w:proofErr w:type="spellEnd"/>
      <w:r w:rsidRPr="005A58D4">
        <w:rPr>
          <w:color w:val="000000"/>
        </w:rPr>
        <w:t xml:space="preserve"> tedavisinde; histolojik olarak </w:t>
      </w:r>
      <w:proofErr w:type="spellStart"/>
      <w:r w:rsidRPr="005A58D4">
        <w:rPr>
          <w:color w:val="000000"/>
        </w:rPr>
        <w:t>glio</w:t>
      </w:r>
      <w:r w:rsidR="005A58D4">
        <w:rPr>
          <w:color w:val="000000"/>
        </w:rPr>
        <w:t>blastoma</w:t>
      </w:r>
      <w:proofErr w:type="spellEnd"/>
      <w:r w:rsidR="005A58D4">
        <w:rPr>
          <w:color w:val="000000"/>
        </w:rPr>
        <w:t xml:space="preserve"> </w:t>
      </w:r>
      <w:proofErr w:type="spellStart"/>
      <w:r w:rsidR="005A58D4">
        <w:rPr>
          <w:color w:val="000000"/>
        </w:rPr>
        <w:t>multiforme</w:t>
      </w:r>
      <w:proofErr w:type="spellEnd"/>
      <w:r w:rsidR="005A58D4">
        <w:rPr>
          <w:color w:val="000000"/>
        </w:rPr>
        <w:t xml:space="preserve"> tanısı almış</w:t>
      </w:r>
      <w:r w:rsidRPr="005A58D4">
        <w:rPr>
          <w:color w:val="000000"/>
        </w:rPr>
        <w:t xml:space="preserve"> ve bir ser</w:t>
      </w:r>
      <w:r w:rsidR="005A58D4">
        <w:rPr>
          <w:color w:val="000000"/>
        </w:rPr>
        <w:t xml:space="preserve">i </w:t>
      </w:r>
      <w:proofErr w:type="spellStart"/>
      <w:r w:rsidR="005A58D4">
        <w:rPr>
          <w:color w:val="000000"/>
        </w:rPr>
        <w:t>temozolomid</w:t>
      </w:r>
      <w:proofErr w:type="spellEnd"/>
      <w:r w:rsidR="005A58D4">
        <w:rPr>
          <w:color w:val="000000"/>
        </w:rPr>
        <w:t xml:space="preserve"> sonrası </w:t>
      </w:r>
      <w:proofErr w:type="spellStart"/>
      <w:r w:rsidR="005A58D4">
        <w:rPr>
          <w:color w:val="000000"/>
        </w:rPr>
        <w:t>nüks</w:t>
      </w:r>
      <w:proofErr w:type="spellEnd"/>
      <w:r w:rsidR="005A58D4">
        <w:rPr>
          <w:color w:val="000000"/>
        </w:rPr>
        <w:t xml:space="preserve"> gelişmiş veya </w:t>
      </w:r>
      <w:proofErr w:type="spellStart"/>
      <w:r w:rsidR="005A58D4">
        <w:rPr>
          <w:color w:val="000000"/>
        </w:rPr>
        <w:t>progresyon</w:t>
      </w:r>
      <w:proofErr w:type="spellEnd"/>
      <w:r w:rsidR="005A58D4">
        <w:rPr>
          <w:color w:val="000000"/>
        </w:rPr>
        <w:t xml:space="preserve"> göstermiş</w:t>
      </w:r>
      <w:r w:rsidRPr="005A58D4">
        <w:rPr>
          <w:color w:val="000000"/>
        </w:rPr>
        <w:t xml:space="preserve"> hastalarda </w:t>
      </w:r>
      <w:proofErr w:type="gramStart"/>
      <w:r w:rsidRPr="005A58D4">
        <w:rPr>
          <w:color w:val="000000"/>
        </w:rPr>
        <w:t>kemoterapi</w:t>
      </w:r>
      <w:proofErr w:type="gramEnd"/>
      <w:r w:rsidRPr="005A58D4">
        <w:rPr>
          <w:color w:val="000000"/>
        </w:rPr>
        <w:t xml:space="preserve"> ile birlikte </w:t>
      </w:r>
      <w:proofErr w:type="spellStart"/>
      <w:r w:rsidRPr="005A58D4">
        <w:rPr>
          <w:color w:val="000000"/>
        </w:rPr>
        <w:t>progresyona</w:t>
      </w:r>
      <w:proofErr w:type="spellEnd"/>
      <w:r w:rsidRPr="005A58D4">
        <w:rPr>
          <w:color w:val="000000"/>
        </w:rPr>
        <w:t xml:space="preserve"> kadar kullanıl</w:t>
      </w:r>
      <w:r w:rsidR="005A58D4">
        <w:rPr>
          <w:color w:val="000000"/>
        </w:rPr>
        <w:t>ması halinde bedeli Kurumca karş</w:t>
      </w:r>
      <w:r w:rsidRPr="005A58D4">
        <w:rPr>
          <w:color w:val="000000"/>
        </w:rPr>
        <w:t>ılanır</w:t>
      </w:r>
      <w:r w:rsidR="005A58D4">
        <w:rPr>
          <w:color w:val="000000"/>
        </w:rPr>
        <w:t xml:space="preserve">. Bu tedavi ile </w:t>
      </w:r>
      <w:proofErr w:type="spellStart"/>
      <w:r w:rsidR="005A58D4">
        <w:rPr>
          <w:color w:val="000000"/>
        </w:rPr>
        <w:t>progresyon</w:t>
      </w:r>
      <w:proofErr w:type="spellEnd"/>
      <w:r w:rsidR="005A58D4">
        <w:rPr>
          <w:color w:val="000000"/>
        </w:rPr>
        <w:t xml:space="preserve"> geliş</w:t>
      </w:r>
      <w:r w:rsidRPr="005A58D4">
        <w:rPr>
          <w:color w:val="000000"/>
        </w:rPr>
        <w:t>en hastalarda kullanıl</w:t>
      </w:r>
      <w:r w:rsidR="005A58D4">
        <w:rPr>
          <w:color w:val="000000"/>
        </w:rPr>
        <w:t>ması halinde bedeli Kurumca karş</w:t>
      </w:r>
      <w:r w:rsidRPr="005A58D4">
        <w:rPr>
          <w:color w:val="000000"/>
        </w:rPr>
        <w:t>ılanmaz.</w:t>
      </w:r>
    </w:p>
    <w:p w:rsidR="005A58D4" w:rsidRDefault="00F20D5D">
      <w:pPr>
        <w:rPr>
          <w:color w:val="000000"/>
        </w:rPr>
      </w:pPr>
      <w:r w:rsidRPr="005A58D4">
        <w:rPr>
          <w:color w:val="000000"/>
        </w:rPr>
        <w:t xml:space="preserve"> 3) </w:t>
      </w:r>
      <w:proofErr w:type="spellStart"/>
      <w:r w:rsidRPr="005A58D4">
        <w:rPr>
          <w:color w:val="000000"/>
        </w:rPr>
        <w:t>Serviks</w:t>
      </w:r>
      <w:proofErr w:type="spellEnd"/>
      <w:r w:rsidRPr="005A58D4">
        <w:rPr>
          <w:color w:val="000000"/>
        </w:rPr>
        <w:t xml:space="preserve"> kanseri tedavisinde; </w:t>
      </w:r>
      <w:proofErr w:type="gramStart"/>
      <w:r w:rsidRPr="005A58D4">
        <w:rPr>
          <w:color w:val="000000"/>
        </w:rPr>
        <w:t>lokal</w:t>
      </w:r>
      <w:proofErr w:type="gramEnd"/>
      <w:r w:rsidRPr="005A58D4">
        <w:rPr>
          <w:color w:val="000000"/>
        </w:rPr>
        <w:t xml:space="preserve"> tedavilere uygun olmayan </w:t>
      </w:r>
      <w:proofErr w:type="spellStart"/>
      <w:r w:rsidRPr="005A58D4">
        <w:rPr>
          <w:color w:val="000000"/>
        </w:rPr>
        <w:t>rekürren</w:t>
      </w:r>
      <w:proofErr w:type="spellEnd"/>
      <w:r w:rsidRPr="005A58D4">
        <w:rPr>
          <w:color w:val="000000"/>
        </w:rPr>
        <w:t>/</w:t>
      </w:r>
      <w:proofErr w:type="spellStart"/>
      <w:r w:rsidRPr="005A58D4">
        <w:rPr>
          <w:color w:val="000000"/>
        </w:rPr>
        <w:t>persistan</w:t>
      </w:r>
      <w:proofErr w:type="spellEnd"/>
      <w:r w:rsidRPr="005A58D4">
        <w:rPr>
          <w:color w:val="000000"/>
        </w:rPr>
        <w:t xml:space="preserve"> veya </w:t>
      </w:r>
      <w:proofErr w:type="spellStart"/>
      <w:r w:rsidRPr="005A58D4">
        <w:rPr>
          <w:color w:val="000000"/>
        </w:rPr>
        <w:t>metastati</w:t>
      </w:r>
      <w:r w:rsidR="005A58D4">
        <w:rPr>
          <w:color w:val="000000"/>
        </w:rPr>
        <w:t>k</w:t>
      </w:r>
      <w:proofErr w:type="spellEnd"/>
      <w:r w:rsidR="005A58D4">
        <w:rPr>
          <w:color w:val="000000"/>
        </w:rPr>
        <w:t xml:space="preserve"> </w:t>
      </w:r>
      <w:proofErr w:type="spellStart"/>
      <w:r w:rsidR="005A58D4">
        <w:rPr>
          <w:color w:val="000000"/>
        </w:rPr>
        <w:t>serviks</w:t>
      </w:r>
      <w:proofErr w:type="spellEnd"/>
      <w:r w:rsidR="005A58D4">
        <w:rPr>
          <w:color w:val="000000"/>
        </w:rPr>
        <w:t xml:space="preserve"> kanseri olan eriş</w:t>
      </w:r>
      <w:r w:rsidRPr="005A58D4">
        <w:rPr>
          <w:color w:val="000000"/>
        </w:rPr>
        <w:t>kin hastaların birinci</w:t>
      </w:r>
      <w:r w:rsidR="005A58D4" w:rsidRPr="005A58D4">
        <w:rPr>
          <w:color w:val="000000"/>
        </w:rPr>
        <w:t xml:space="preserve"> basamak tedavisinde </w:t>
      </w:r>
      <w:proofErr w:type="spellStart"/>
      <w:r w:rsidR="005A58D4" w:rsidRPr="005A58D4">
        <w:rPr>
          <w:color w:val="000000"/>
        </w:rPr>
        <w:t>paklitaksel</w:t>
      </w:r>
      <w:proofErr w:type="spellEnd"/>
      <w:r w:rsidR="005A58D4" w:rsidRPr="005A58D4">
        <w:rPr>
          <w:color w:val="000000"/>
        </w:rPr>
        <w:t xml:space="preserve"> ve </w:t>
      </w:r>
      <w:proofErr w:type="spellStart"/>
      <w:r w:rsidR="005A58D4" w:rsidRPr="005A58D4">
        <w:rPr>
          <w:color w:val="000000"/>
        </w:rPr>
        <w:t>cisplatin</w:t>
      </w:r>
      <w:proofErr w:type="spellEnd"/>
      <w:r w:rsidR="005A58D4" w:rsidRPr="005A58D4">
        <w:rPr>
          <w:color w:val="000000"/>
        </w:rPr>
        <w:t xml:space="preserve"> veya </w:t>
      </w:r>
      <w:proofErr w:type="spellStart"/>
      <w:r w:rsidR="005A58D4" w:rsidRPr="005A58D4">
        <w:rPr>
          <w:color w:val="000000"/>
        </w:rPr>
        <w:t>paklitaksel</w:t>
      </w:r>
      <w:proofErr w:type="spellEnd"/>
      <w:r w:rsidR="005A58D4" w:rsidRPr="005A58D4">
        <w:rPr>
          <w:color w:val="000000"/>
        </w:rPr>
        <w:t xml:space="preserve"> ve </w:t>
      </w:r>
      <w:proofErr w:type="spellStart"/>
      <w:r w:rsidR="005A58D4" w:rsidRPr="005A58D4">
        <w:rPr>
          <w:color w:val="000000"/>
        </w:rPr>
        <w:t>topotekan</w:t>
      </w:r>
      <w:proofErr w:type="spellEnd"/>
      <w:r w:rsidR="005A58D4" w:rsidRPr="005A58D4">
        <w:rPr>
          <w:color w:val="000000"/>
        </w:rPr>
        <w:t xml:space="preserve"> ile kombine olarak </w:t>
      </w:r>
      <w:proofErr w:type="spellStart"/>
      <w:r w:rsidR="005A58D4" w:rsidRPr="005A58D4">
        <w:rPr>
          <w:color w:val="000000"/>
        </w:rPr>
        <w:t>progresyona</w:t>
      </w:r>
      <w:proofErr w:type="spellEnd"/>
      <w:r w:rsidR="005A58D4" w:rsidRPr="005A58D4">
        <w:rPr>
          <w:color w:val="000000"/>
        </w:rPr>
        <w:t xml:space="preserve"> kadar kullanıl</w:t>
      </w:r>
      <w:r w:rsidR="005A58D4">
        <w:rPr>
          <w:color w:val="000000"/>
        </w:rPr>
        <w:t xml:space="preserve">ması halinde bedeli Kurumca karşılanır. Daha önce radyo </w:t>
      </w:r>
      <w:proofErr w:type="spellStart"/>
      <w:r w:rsidR="005A58D4">
        <w:rPr>
          <w:color w:val="000000"/>
        </w:rPr>
        <w:t>duyarlaş</w:t>
      </w:r>
      <w:r w:rsidR="005A58D4" w:rsidRPr="005A58D4">
        <w:rPr>
          <w:color w:val="000000"/>
        </w:rPr>
        <w:t>tırıcı</w:t>
      </w:r>
      <w:proofErr w:type="spellEnd"/>
      <w:r w:rsidR="005A58D4" w:rsidRPr="005A58D4">
        <w:rPr>
          <w:color w:val="000000"/>
        </w:rPr>
        <w:t xml:space="preserve"> haricinde sist</w:t>
      </w:r>
      <w:r w:rsidR="005A58D4">
        <w:rPr>
          <w:color w:val="000000"/>
        </w:rPr>
        <w:t xml:space="preserve">emik </w:t>
      </w:r>
      <w:proofErr w:type="gramStart"/>
      <w:r w:rsidR="005A58D4">
        <w:rPr>
          <w:color w:val="000000"/>
        </w:rPr>
        <w:t>kemoterapi</w:t>
      </w:r>
      <w:proofErr w:type="gramEnd"/>
      <w:r w:rsidR="005A58D4">
        <w:rPr>
          <w:color w:val="000000"/>
        </w:rPr>
        <w:t xml:space="preserve"> tedavisi almış ve </w:t>
      </w:r>
      <w:proofErr w:type="spellStart"/>
      <w:r w:rsidR="005A58D4">
        <w:rPr>
          <w:color w:val="000000"/>
        </w:rPr>
        <w:t>progresyon</w:t>
      </w:r>
      <w:proofErr w:type="spellEnd"/>
      <w:r w:rsidR="005A58D4">
        <w:rPr>
          <w:color w:val="000000"/>
        </w:rPr>
        <w:t xml:space="preserve"> göstermiş</w:t>
      </w:r>
      <w:r w:rsidR="005A58D4" w:rsidRPr="005A58D4">
        <w:rPr>
          <w:color w:val="000000"/>
        </w:rPr>
        <w:t xml:space="preserve"> hastalarda kullanıl</w:t>
      </w:r>
      <w:r w:rsidR="005A58D4">
        <w:rPr>
          <w:color w:val="000000"/>
        </w:rPr>
        <w:t>ması halinde bedeli Kurumca karş</w:t>
      </w:r>
      <w:r w:rsidR="005A58D4" w:rsidRPr="005A58D4">
        <w:rPr>
          <w:color w:val="000000"/>
        </w:rPr>
        <w:t>ılanmaz.</w:t>
      </w:r>
    </w:p>
    <w:p w:rsidR="005A58D4" w:rsidRDefault="005A58D4">
      <w:pPr>
        <w:rPr>
          <w:color w:val="000000"/>
        </w:rPr>
      </w:pPr>
      <w:r w:rsidRPr="005A58D4">
        <w:rPr>
          <w:color w:val="000000"/>
        </w:rPr>
        <w:t xml:space="preserve"> 4) Tıbbi onkoloji uzman hekiminin yer aldığı sağlık kurulu raporu ile bu sağlık kurulu raporuna dayanılarak ikinci ve üçüncü basamak sağlık kurumlarında tüm uzman hekimlerce reçete edilir.</w:t>
      </w:r>
    </w:p>
    <w:p w:rsidR="005A58D4" w:rsidRPr="005A58D4" w:rsidRDefault="005A58D4">
      <w:pPr>
        <w:rPr>
          <w:color w:val="000000"/>
        </w:rPr>
      </w:pPr>
      <w:proofErr w:type="spellStart"/>
      <w:r w:rsidRPr="005A58D4">
        <w:rPr>
          <w:color w:val="000000"/>
        </w:rPr>
        <w:t>oo</w:t>
      </w:r>
      <w:proofErr w:type="spellEnd"/>
      <w:r w:rsidRPr="005A58D4">
        <w:rPr>
          <w:color w:val="000000"/>
        </w:rPr>
        <w:t xml:space="preserve">) </w:t>
      </w:r>
      <w:proofErr w:type="spellStart"/>
      <w:r w:rsidRPr="005A58D4">
        <w:rPr>
          <w:color w:val="000000"/>
        </w:rPr>
        <w:t>Pleriksafor</w:t>
      </w:r>
      <w:proofErr w:type="spellEnd"/>
      <w:r w:rsidR="008C6436" w:rsidRPr="008C6436">
        <w:rPr>
          <w:b/>
          <w:color w:val="000000"/>
        </w:rPr>
        <w:t>(MOZOFİL)</w:t>
      </w:r>
      <w:r w:rsidRPr="005A58D4">
        <w:rPr>
          <w:color w:val="000000"/>
        </w:rPr>
        <w:t xml:space="preserve">; </w:t>
      </w:r>
    </w:p>
    <w:p w:rsidR="005A58D4" w:rsidRDefault="005A58D4">
      <w:pPr>
        <w:rPr>
          <w:color w:val="000000"/>
        </w:rPr>
      </w:pPr>
      <w:r w:rsidRPr="005A58D4">
        <w:rPr>
          <w:color w:val="000000"/>
        </w:rPr>
        <w:t xml:space="preserve">1) </w:t>
      </w:r>
      <w:proofErr w:type="spellStart"/>
      <w:r>
        <w:rPr>
          <w:color w:val="000000"/>
        </w:rPr>
        <w:t>Otolog</w:t>
      </w:r>
      <w:proofErr w:type="spellEnd"/>
      <w:r>
        <w:rPr>
          <w:color w:val="000000"/>
        </w:rPr>
        <w:t xml:space="preserve"> kök hücre nakli gerçekleş</w:t>
      </w:r>
      <w:r w:rsidRPr="005A58D4">
        <w:rPr>
          <w:color w:val="000000"/>
        </w:rPr>
        <w:t xml:space="preserve">tirmek istenen </w:t>
      </w:r>
      <w:proofErr w:type="spellStart"/>
      <w:r w:rsidRPr="005A58D4">
        <w:rPr>
          <w:color w:val="000000"/>
        </w:rPr>
        <w:t>lenfoma</w:t>
      </w:r>
      <w:proofErr w:type="spellEnd"/>
      <w:r w:rsidRPr="005A58D4">
        <w:rPr>
          <w:color w:val="000000"/>
        </w:rPr>
        <w:t xml:space="preserve"> veya </w:t>
      </w:r>
      <w:proofErr w:type="spellStart"/>
      <w:r w:rsidRPr="005A58D4">
        <w:rPr>
          <w:color w:val="000000"/>
        </w:rPr>
        <w:t>mul</w:t>
      </w:r>
      <w:r>
        <w:rPr>
          <w:color w:val="000000"/>
        </w:rPr>
        <w:t>tipl</w:t>
      </w:r>
      <w:proofErr w:type="spellEnd"/>
      <w:r>
        <w:rPr>
          <w:color w:val="000000"/>
        </w:rPr>
        <w:t xml:space="preserve"> </w:t>
      </w:r>
      <w:proofErr w:type="spellStart"/>
      <w:r>
        <w:rPr>
          <w:color w:val="000000"/>
        </w:rPr>
        <w:t>miyelom</w:t>
      </w:r>
      <w:proofErr w:type="spellEnd"/>
      <w:r>
        <w:rPr>
          <w:color w:val="000000"/>
        </w:rPr>
        <w:t xml:space="preserve"> tanısı konmuş ve aş</w:t>
      </w:r>
      <w:r w:rsidRPr="005A58D4">
        <w:rPr>
          <w:color w:val="000000"/>
        </w:rPr>
        <w:t xml:space="preserve">ağıdaki tedavi protokolleri ile yeterli kök hücre </w:t>
      </w:r>
      <w:proofErr w:type="spellStart"/>
      <w:r w:rsidRPr="005A58D4">
        <w:rPr>
          <w:color w:val="000000"/>
        </w:rPr>
        <w:t>mobilizasyonu</w:t>
      </w:r>
      <w:proofErr w:type="spellEnd"/>
      <w:r w:rsidRPr="005A58D4">
        <w:rPr>
          <w:color w:val="000000"/>
        </w:rPr>
        <w:t xml:space="preserve"> (≥2 x 106/kg CD34 pozitif hü</w:t>
      </w:r>
      <w:r>
        <w:rPr>
          <w:color w:val="000000"/>
        </w:rPr>
        <w:t>cre) sağlanamayan eriş</w:t>
      </w:r>
      <w:r w:rsidRPr="005A58D4">
        <w:rPr>
          <w:color w:val="000000"/>
        </w:rPr>
        <w:t xml:space="preserve">kin hastalarda </w:t>
      </w:r>
      <w:proofErr w:type="spellStart"/>
      <w:r w:rsidRPr="005A58D4">
        <w:rPr>
          <w:color w:val="000000"/>
        </w:rPr>
        <w:t>Granülosit</w:t>
      </w:r>
      <w:proofErr w:type="spellEnd"/>
      <w:r w:rsidRPr="005A58D4">
        <w:rPr>
          <w:color w:val="000000"/>
        </w:rPr>
        <w:t xml:space="preserve"> Koloni Uyarıcı Faktör (G-CSF) ile kombine olarak kullanılır. </w:t>
      </w:r>
    </w:p>
    <w:p w:rsidR="005A58D4" w:rsidRDefault="005A58D4">
      <w:pPr>
        <w:rPr>
          <w:color w:val="000000"/>
        </w:rPr>
      </w:pPr>
      <w:r w:rsidRPr="005A58D4">
        <w:rPr>
          <w:color w:val="000000"/>
        </w:rPr>
        <w:t xml:space="preserve">a) Sadece G-CSF </w:t>
      </w:r>
      <w:proofErr w:type="spellStart"/>
      <w:r w:rsidRPr="005A58D4">
        <w:rPr>
          <w:color w:val="000000"/>
        </w:rPr>
        <w:t>mobilizasyonunun</w:t>
      </w:r>
      <w:proofErr w:type="spellEnd"/>
      <w:r w:rsidRPr="005A58D4">
        <w:rPr>
          <w:color w:val="000000"/>
        </w:rPr>
        <w:t xml:space="preserve"> yeterli olacağı öngörülen hastalardan en az bir seri 10 mikrogram/kilogram gün dozunda G-CSF uygulaması ve en az bir seri G-CSF ile birlikte </w:t>
      </w:r>
      <w:proofErr w:type="gramStart"/>
      <w:r w:rsidRPr="005A58D4">
        <w:rPr>
          <w:color w:val="000000"/>
        </w:rPr>
        <w:t>kemoterapi</w:t>
      </w:r>
      <w:proofErr w:type="gramEnd"/>
      <w:r w:rsidRPr="005A58D4">
        <w:rPr>
          <w:color w:val="000000"/>
        </w:rPr>
        <w:t xml:space="preserve"> uygulaması, </w:t>
      </w:r>
    </w:p>
    <w:p w:rsidR="005A58D4" w:rsidRDefault="005A58D4">
      <w:pPr>
        <w:rPr>
          <w:color w:val="000000"/>
        </w:rPr>
      </w:pPr>
      <w:r w:rsidRPr="005A58D4">
        <w:rPr>
          <w:color w:val="000000"/>
        </w:rPr>
        <w:lastRenderedPageBreak/>
        <w:t xml:space="preserve">b) Sadece G-CSF ile yeterli düzeyde kök hücre </w:t>
      </w:r>
      <w:proofErr w:type="spellStart"/>
      <w:r w:rsidRPr="005A58D4">
        <w:rPr>
          <w:color w:val="000000"/>
        </w:rPr>
        <w:t>mobilizasyonu</w:t>
      </w:r>
      <w:proofErr w:type="spellEnd"/>
      <w:r w:rsidRPr="005A58D4">
        <w:rPr>
          <w:color w:val="000000"/>
        </w:rPr>
        <w:t xml:space="preserve"> sağlanamayacağı öngörülen hastalarda en az bir seri G-CSF ile birlikte </w:t>
      </w:r>
      <w:proofErr w:type="gramStart"/>
      <w:r w:rsidRPr="005A58D4">
        <w:rPr>
          <w:color w:val="000000"/>
        </w:rPr>
        <w:t>kemoterapi</w:t>
      </w:r>
      <w:proofErr w:type="gramEnd"/>
      <w:r w:rsidRPr="005A58D4">
        <w:rPr>
          <w:color w:val="000000"/>
        </w:rPr>
        <w:t xml:space="preserve"> uygulaması.</w:t>
      </w:r>
    </w:p>
    <w:p w:rsidR="005A58D4" w:rsidRDefault="005A58D4">
      <w:pPr>
        <w:rPr>
          <w:color w:val="000000"/>
        </w:rPr>
      </w:pPr>
      <w:r w:rsidRPr="005A58D4">
        <w:rPr>
          <w:color w:val="000000"/>
        </w:rPr>
        <w:t xml:space="preserve"> </w:t>
      </w:r>
      <w:proofErr w:type="gramStart"/>
      <w:r w:rsidRPr="005A58D4">
        <w:rPr>
          <w:color w:val="000000"/>
        </w:rPr>
        <w:t xml:space="preserve">2) Bünyesinde </w:t>
      </w:r>
      <w:proofErr w:type="spellStart"/>
      <w:r w:rsidRPr="005A58D4">
        <w:rPr>
          <w:color w:val="000000"/>
        </w:rPr>
        <w:t>terapötik</w:t>
      </w:r>
      <w:proofErr w:type="spellEnd"/>
      <w:r w:rsidRPr="005A58D4">
        <w:rPr>
          <w:color w:val="000000"/>
        </w:rPr>
        <w:t xml:space="preserve"> </w:t>
      </w:r>
      <w:proofErr w:type="spellStart"/>
      <w:r w:rsidRPr="005A58D4">
        <w:rPr>
          <w:color w:val="000000"/>
        </w:rPr>
        <w:t>aferez</w:t>
      </w:r>
      <w:proofErr w:type="spellEnd"/>
      <w:r w:rsidRPr="005A58D4">
        <w:rPr>
          <w:color w:val="000000"/>
        </w:rPr>
        <w:t xml:space="preserve"> merkezi bulunan sağlık hizmeti sunucularında, bu durumların belirtildiği en az biri hematoloji uzman hekimi olmak üzere hematoloji ve o</w:t>
      </w:r>
      <w:r>
        <w:rPr>
          <w:color w:val="000000"/>
        </w:rPr>
        <w:t>nkoloji uzman hekimlerinden oluş</w:t>
      </w:r>
      <w:r w:rsidRPr="005A58D4">
        <w:rPr>
          <w:color w:val="000000"/>
        </w:rPr>
        <w:t>an 1 ay süreli sağlık kurulu raporuna dayanılarak hematoloji veya onkoloji uzman hekimleri tarafından en fazla 4 günlük dozda reçete edil</w:t>
      </w:r>
      <w:r>
        <w:rPr>
          <w:color w:val="000000"/>
        </w:rPr>
        <w:t>mesi halinde bedeli Kurumca karş</w:t>
      </w:r>
      <w:r w:rsidRPr="005A58D4">
        <w:rPr>
          <w:color w:val="000000"/>
        </w:rPr>
        <w:t>ılanır.</w:t>
      </w:r>
      <w:proofErr w:type="gramEnd"/>
    </w:p>
    <w:p w:rsidR="005A58D4" w:rsidRPr="005A58D4" w:rsidRDefault="005A58D4">
      <w:pPr>
        <w:rPr>
          <w:color w:val="000000"/>
        </w:rPr>
      </w:pPr>
      <w:proofErr w:type="spellStart"/>
      <w:r w:rsidRPr="005A58D4">
        <w:rPr>
          <w:color w:val="000000"/>
        </w:rPr>
        <w:t>öö</w:t>
      </w:r>
      <w:proofErr w:type="spellEnd"/>
      <w:r w:rsidRPr="005A58D4">
        <w:rPr>
          <w:color w:val="000000"/>
        </w:rPr>
        <w:t xml:space="preserve">) </w:t>
      </w:r>
      <w:proofErr w:type="spellStart"/>
      <w:r w:rsidRPr="005A58D4">
        <w:rPr>
          <w:color w:val="000000"/>
        </w:rPr>
        <w:t>Denosumab</w:t>
      </w:r>
      <w:proofErr w:type="spellEnd"/>
      <w:r w:rsidRPr="005A58D4">
        <w:rPr>
          <w:color w:val="000000"/>
        </w:rPr>
        <w:t xml:space="preserve"> 120 mg</w:t>
      </w:r>
      <w:r w:rsidR="008C6436" w:rsidRPr="008C6436">
        <w:rPr>
          <w:b/>
          <w:color w:val="000000"/>
        </w:rPr>
        <w:t>(PROLİA, XGEVA)</w:t>
      </w:r>
      <w:r w:rsidRPr="005A58D4">
        <w:rPr>
          <w:color w:val="000000"/>
        </w:rPr>
        <w:t xml:space="preserve">; </w:t>
      </w:r>
    </w:p>
    <w:p w:rsidR="005A58D4" w:rsidRPr="005A58D4" w:rsidRDefault="005A58D4">
      <w:pPr>
        <w:rPr>
          <w:color w:val="000000"/>
        </w:rPr>
      </w:pPr>
      <w:proofErr w:type="gramStart"/>
      <w:r w:rsidRPr="005A58D4">
        <w:rPr>
          <w:color w:val="000000"/>
        </w:rPr>
        <w:t xml:space="preserve">1) Daha </w:t>
      </w:r>
      <w:r>
        <w:rPr>
          <w:color w:val="000000"/>
        </w:rPr>
        <w:t xml:space="preserve">önce </w:t>
      </w:r>
      <w:proofErr w:type="spellStart"/>
      <w:r>
        <w:rPr>
          <w:color w:val="000000"/>
        </w:rPr>
        <w:t>zoledronik</w:t>
      </w:r>
      <w:proofErr w:type="spellEnd"/>
      <w:r>
        <w:rPr>
          <w:color w:val="000000"/>
        </w:rPr>
        <w:t xml:space="preserve"> asit kullanmamış</w:t>
      </w:r>
      <w:r w:rsidRPr="005A58D4">
        <w:rPr>
          <w:color w:val="000000"/>
        </w:rPr>
        <w:t xml:space="preserve">, kırık veya bası riski </w:t>
      </w:r>
      <w:r>
        <w:rPr>
          <w:color w:val="000000"/>
        </w:rPr>
        <w:t>yüksek kemiklere metastaz yapmış</w:t>
      </w:r>
      <w:r w:rsidRPr="005A58D4">
        <w:rPr>
          <w:color w:val="000000"/>
        </w:rPr>
        <w:t xml:space="preserve"> meme kanseri, hormon </w:t>
      </w:r>
      <w:proofErr w:type="spellStart"/>
      <w:r w:rsidRPr="005A58D4">
        <w:rPr>
          <w:color w:val="000000"/>
        </w:rPr>
        <w:t>refrakter</w:t>
      </w:r>
      <w:proofErr w:type="spellEnd"/>
      <w:r w:rsidRPr="005A58D4">
        <w:rPr>
          <w:color w:val="000000"/>
        </w:rPr>
        <w:t xml:space="preserve"> prosta</w:t>
      </w:r>
      <w:r>
        <w:rPr>
          <w:color w:val="000000"/>
        </w:rPr>
        <w:t>t kanseri veya küçük hücreli dış</w:t>
      </w:r>
      <w:r w:rsidRPr="005A58D4">
        <w:rPr>
          <w:color w:val="000000"/>
        </w:rPr>
        <w:t xml:space="preserve">ı akciğer kanseri hastalarında kemik </w:t>
      </w:r>
      <w:proofErr w:type="spellStart"/>
      <w:r w:rsidRPr="005A58D4">
        <w:rPr>
          <w:color w:val="000000"/>
        </w:rPr>
        <w:t>progresyonuna</w:t>
      </w:r>
      <w:proofErr w:type="spellEnd"/>
      <w:r w:rsidRPr="005A58D4">
        <w:rPr>
          <w:color w:val="000000"/>
        </w:rPr>
        <w:t xml:space="preserve"> kadar, en az bir tıbbi onkoloji uzman hekiminin yer aldığı 6 ay süreli sağlık kurulu raporuna dayanılarak tıbbi onkoloji uzman hekimlerince reçetelen</w:t>
      </w:r>
      <w:r>
        <w:rPr>
          <w:color w:val="000000"/>
        </w:rPr>
        <w:t>mesi halinde bedeli Kurumca karş</w:t>
      </w:r>
      <w:r w:rsidRPr="005A58D4">
        <w:rPr>
          <w:color w:val="000000"/>
        </w:rPr>
        <w:t xml:space="preserve">ılanır. </w:t>
      </w:r>
      <w:proofErr w:type="gramEnd"/>
    </w:p>
    <w:p w:rsidR="005A58D4" w:rsidRDefault="005A58D4">
      <w:pPr>
        <w:rPr>
          <w:color w:val="000000"/>
        </w:rPr>
      </w:pPr>
      <w:r w:rsidRPr="005A58D4">
        <w:rPr>
          <w:color w:val="000000"/>
        </w:rPr>
        <w:t xml:space="preserve">2) </w:t>
      </w:r>
      <w:proofErr w:type="spellStart"/>
      <w:r w:rsidRPr="005A58D4">
        <w:rPr>
          <w:color w:val="000000"/>
        </w:rPr>
        <w:t>Rezeke</w:t>
      </w:r>
      <w:proofErr w:type="spellEnd"/>
      <w:r w:rsidRPr="005A58D4">
        <w:rPr>
          <w:color w:val="000000"/>
        </w:rPr>
        <w:t xml:space="preserve"> edilemeyen veya cerra</w:t>
      </w:r>
      <w:r>
        <w:rPr>
          <w:color w:val="000000"/>
        </w:rPr>
        <w:t xml:space="preserve">hi </w:t>
      </w:r>
      <w:proofErr w:type="spellStart"/>
      <w:r>
        <w:rPr>
          <w:color w:val="000000"/>
        </w:rPr>
        <w:t>morbidite</w:t>
      </w:r>
      <w:proofErr w:type="spellEnd"/>
      <w:r>
        <w:rPr>
          <w:color w:val="000000"/>
        </w:rPr>
        <w:t xml:space="preserve"> riski yüksek, yetişkinler ile iskeleti olgunlaşmış</w:t>
      </w:r>
      <w:r w:rsidRPr="005A58D4">
        <w:rPr>
          <w:color w:val="000000"/>
        </w:rPr>
        <w:t xml:space="preserve"> </w:t>
      </w:r>
      <w:proofErr w:type="spellStart"/>
      <w:r w:rsidRPr="005A58D4">
        <w:rPr>
          <w:color w:val="000000"/>
        </w:rPr>
        <w:t>adölesanlarda</w:t>
      </w:r>
      <w:proofErr w:type="spellEnd"/>
      <w:r w:rsidRPr="005A58D4">
        <w:rPr>
          <w:color w:val="000000"/>
        </w:rPr>
        <w:t xml:space="preserve"> görülen kemiğin dev hücreli tümörünün tedavisinde en az bir tıbbi onkoloji uzman hekiminin yer aldığı 6 ay süreli sağlık kurulu raporuna dayanılarak tıbbi onkoloji uzman hekimlerince reçetelen</w:t>
      </w:r>
      <w:r>
        <w:rPr>
          <w:color w:val="000000"/>
        </w:rPr>
        <w:t>mesi halinde bedeli Kurumca karş</w:t>
      </w:r>
      <w:r w:rsidRPr="005A58D4">
        <w:rPr>
          <w:color w:val="000000"/>
        </w:rPr>
        <w:t>ılanır.</w:t>
      </w:r>
    </w:p>
    <w:p w:rsidR="005A58D4" w:rsidRPr="005A58D4" w:rsidRDefault="005A58D4">
      <w:pPr>
        <w:rPr>
          <w:color w:val="000000"/>
        </w:rPr>
      </w:pPr>
      <w:proofErr w:type="spellStart"/>
      <w:r w:rsidRPr="005A58D4">
        <w:rPr>
          <w:color w:val="000000"/>
        </w:rPr>
        <w:t>pp</w:t>
      </w:r>
      <w:proofErr w:type="spellEnd"/>
      <w:r w:rsidRPr="005A58D4">
        <w:rPr>
          <w:color w:val="000000"/>
        </w:rPr>
        <w:t xml:space="preserve">) </w:t>
      </w:r>
      <w:proofErr w:type="spellStart"/>
      <w:r w:rsidRPr="005A58D4">
        <w:rPr>
          <w:color w:val="000000"/>
        </w:rPr>
        <w:t>Nivolumab</w:t>
      </w:r>
      <w:proofErr w:type="spellEnd"/>
      <w:r w:rsidR="008C6436">
        <w:rPr>
          <w:color w:val="000000"/>
        </w:rPr>
        <w:t xml:space="preserve"> </w:t>
      </w:r>
      <w:r w:rsidR="008C6436" w:rsidRPr="008C6436">
        <w:rPr>
          <w:b/>
          <w:color w:val="000000"/>
        </w:rPr>
        <w:t>(OPDİVO)</w:t>
      </w:r>
      <w:r w:rsidRPr="005A58D4">
        <w:rPr>
          <w:color w:val="000000"/>
        </w:rPr>
        <w:t xml:space="preserve"> yalnızca;</w:t>
      </w:r>
    </w:p>
    <w:p w:rsidR="005A58D4" w:rsidRPr="005A58D4" w:rsidRDefault="005A58D4">
      <w:pPr>
        <w:rPr>
          <w:color w:val="000000"/>
        </w:rPr>
      </w:pPr>
      <w:r w:rsidRPr="005A58D4">
        <w:rPr>
          <w:color w:val="000000"/>
        </w:rPr>
        <w:t xml:space="preserve"> 1) ECOG performans skoru 0-1 olan, birinci basamak </w:t>
      </w:r>
      <w:proofErr w:type="gramStart"/>
      <w:r w:rsidRPr="005A58D4">
        <w:rPr>
          <w:color w:val="000000"/>
        </w:rPr>
        <w:t>kemoterapi</w:t>
      </w:r>
      <w:proofErr w:type="gramEnd"/>
      <w:r>
        <w:rPr>
          <w:color w:val="000000"/>
        </w:rPr>
        <w:t xml:space="preserve"> sonrasında </w:t>
      </w:r>
      <w:proofErr w:type="spellStart"/>
      <w:r>
        <w:rPr>
          <w:color w:val="000000"/>
        </w:rPr>
        <w:t>progresyon</w:t>
      </w:r>
      <w:proofErr w:type="spellEnd"/>
      <w:r>
        <w:rPr>
          <w:color w:val="000000"/>
        </w:rPr>
        <w:t xml:space="preserve"> göstermiş</w:t>
      </w:r>
      <w:r w:rsidRPr="005A58D4">
        <w:rPr>
          <w:color w:val="000000"/>
        </w:rPr>
        <w:t xml:space="preserve">, daha önce PD-1 ve </w:t>
      </w:r>
      <w:r>
        <w:rPr>
          <w:color w:val="000000"/>
        </w:rPr>
        <w:t>PD-L1 inhibitör tedavisi almamış</w:t>
      </w:r>
      <w:r w:rsidRPr="005A58D4">
        <w:rPr>
          <w:color w:val="000000"/>
        </w:rPr>
        <w:t xml:space="preserve"> </w:t>
      </w:r>
      <w:proofErr w:type="spellStart"/>
      <w:r w:rsidRPr="005A58D4">
        <w:rPr>
          <w:color w:val="000000"/>
        </w:rPr>
        <w:t>rezeke</w:t>
      </w:r>
      <w:proofErr w:type="spellEnd"/>
      <w:r w:rsidRPr="005A58D4">
        <w:rPr>
          <w:color w:val="000000"/>
        </w:rPr>
        <w:t xml:space="preserve"> edilemeyen lokal ileri evre veya </w:t>
      </w:r>
      <w:proofErr w:type="spellStart"/>
      <w:r w:rsidRPr="005A58D4">
        <w:rPr>
          <w:color w:val="000000"/>
        </w:rPr>
        <w:t>metastatik</w:t>
      </w:r>
      <w:proofErr w:type="spellEnd"/>
      <w:r w:rsidRPr="005A58D4">
        <w:rPr>
          <w:color w:val="000000"/>
        </w:rPr>
        <w:t xml:space="preserve"> </w:t>
      </w:r>
      <w:proofErr w:type="spellStart"/>
      <w:r w:rsidRPr="005A58D4">
        <w:rPr>
          <w:color w:val="000000"/>
        </w:rPr>
        <w:t>malign</w:t>
      </w:r>
      <w:proofErr w:type="spellEnd"/>
      <w:r w:rsidRPr="005A58D4">
        <w:rPr>
          <w:color w:val="000000"/>
        </w:rPr>
        <w:t xml:space="preserve"> </w:t>
      </w:r>
      <w:proofErr w:type="spellStart"/>
      <w:r w:rsidRPr="005A58D4">
        <w:rPr>
          <w:color w:val="000000"/>
        </w:rPr>
        <w:t>melanomu</w:t>
      </w:r>
      <w:proofErr w:type="spellEnd"/>
      <w:r w:rsidRPr="005A58D4">
        <w:rPr>
          <w:color w:val="000000"/>
        </w:rPr>
        <w:t xml:space="preserve"> olan hastaların tedav</w:t>
      </w:r>
      <w:r>
        <w:rPr>
          <w:color w:val="000000"/>
        </w:rPr>
        <w:t xml:space="preserve">isinde </w:t>
      </w:r>
      <w:proofErr w:type="spellStart"/>
      <w:r>
        <w:rPr>
          <w:color w:val="000000"/>
        </w:rPr>
        <w:t>progresyona</w:t>
      </w:r>
      <w:proofErr w:type="spellEnd"/>
      <w:r>
        <w:rPr>
          <w:color w:val="000000"/>
        </w:rPr>
        <w:t xml:space="preserve"> kadar tek baş</w:t>
      </w:r>
      <w:r w:rsidRPr="005A58D4">
        <w:rPr>
          <w:color w:val="000000"/>
        </w:rPr>
        <w:t xml:space="preserve">ına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w:t>
      </w:r>
      <w:proofErr w:type="spellStart"/>
      <w:r w:rsidRPr="005A58D4">
        <w:rPr>
          <w:color w:val="000000"/>
        </w:rPr>
        <w:t>progre</w:t>
      </w:r>
      <w:r>
        <w:rPr>
          <w:color w:val="000000"/>
        </w:rPr>
        <w:t>syon</w:t>
      </w:r>
      <w:proofErr w:type="spellEnd"/>
      <w:r>
        <w:rPr>
          <w:color w:val="000000"/>
        </w:rPr>
        <w:t xml:space="preserve"> olmadığı belirtilmelidir. </w:t>
      </w:r>
      <w:proofErr w:type="spellStart"/>
      <w:r>
        <w:rPr>
          <w:color w:val="000000"/>
        </w:rPr>
        <w:t>İ</w:t>
      </w:r>
      <w:r w:rsidRPr="005A58D4">
        <w:rPr>
          <w:color w:val="000000"/>
        </w:rPr>
        <w:t>pilimu</w:t>
      </w:r>
      <w:r>
        <w:rPr>
          <w:color w:val="000000"/>
        </w:rPr>
        <w:t>mab</w:t>
      </w:r>
      <w:proofErr w:type="spellEnd"/>
      <w:r>
        <w:rPr>
          <w:color w:val="000000"/>
        </w:rPr>
        <w:t xml:space="preserve"> etken maddeli ilaç ile ardış</w:t>
      </w:r>
      <w:r w:rsidRPr="005A58D4">
        <w:rPr>
          <w:color w:val="000000"/>
        </w:rPr>
        <w:t xml:space="preserve">ık veya kombine kullanılması halinde bedeli ödenmez. </w:t>
      </w:r>
    </w:p>
    <w:p w:rsidR="005A58D4" w:rsidRPr="005A58D4" w:rsidRDefault="005A58D4">
      <w:pPr>
        <w:rPr>
          <w:color w:val="000000"/>
        </w:rPr>
      </w:pPr>
      <w:r w:rsidRPr="005A58D4">
        <w:rPr>
          <w:color w:val="000000"/>
        </w:rPr>
        <w:t xml:space="preserve">2) </w:t>
      </w:r>
      <w:proofErr w:type="spellStart"/>
      <w:r w:rsidRPr="005A58D4">
        <w:rPr>
          <w:color w:val="000000"/>
        </w:rPr>
        <w:t>Karnofsky</w:t>
      </w:r>
      <w:proofErr w:type="spellEnd"/>
      <w:r w:rsidRPr="005A58D4">
        <w:rPr>
          <w:color w:val="000000"/>
        </w:rPr>
        <w:t xml:space="preserve"> performans statüsü en az 70 olan, daha önce en az bir basamak </w:t>
      </w:r>
      <w:proofErr w:type="spellStart"/>
      <w:r w:rsidRPr="005A58D4">
        <w:rPr>
          <w:color w:val="000000"/>
        </w:rPr>
        <w:t>sitokin</w:t>
      </w:r>
      <w:proofErr w:type="spellEnd"/>
      <w:r w:rsidRPr="005A58D4">
        <w:rPr>
          <w:color w:val="000000"/>
        </w:rPr>
        <w:t xml:space="preserve"> (interferon veya </w:t>
      </w:r>
      <w:proofErr w:type="spellStart"/>
      <w:r w:rsidRPr="005A58D4">
        <w:rPr>
          <w:color w:val="000000"/>
        </w:rPr>
        <w:t>interlökin</w:t>
      </w:r>
      <w:proofErr w:type="spellEnd"/>
      <w:r w:rsidRPr="005A58D4">
        <w:rPr>
          <w:color w:val="000000"/>
        </w:rPr>
        <w:t>) ve sonrasında bir basama</w:t>
      </w:r>
      <w:r>
        <w:rPr>
          <w:color w:val="000000"/>
        </w:rPr>
        <w:t xml:space="preserve">k da </w:t>
      </w:r>
      <w:proofErr w:type="spellStart"/>
      <w:r>
        <w:rPr>
          <w:color w:val="000000"/>
        </w:rPr>
        <w:t>antianjiojenik</w:t>
      </w:r>
      <w:proofErr w:type="spellEnd"/>
      <w:r>
        <w:rPr>
          <w:color w:val="000000"/>
        </w:rPr>
        <w:t xml:space="preserve"> tedavi almış olmak ş</w:t>
      </w:r>
      <w:r w:rsidRPr="005A58D4">
        <w:rPr>
          <w:color w:val="000000"/>
        </w:rPr>
        <w:t xml:space="preserve">artı ile 3. veya 4. basamak tedavi olarak, ileri evre berrak hücreli </w:t>
      </w:r>
      <w:proofErr w:type="spellStart"/>
      <w:r w:rsidRPr="005A58D4">
        <w:rPr>
          <w:color w:val="000000"/>
        </w:rPr>
        <w:t>renal</w:t>
      </w:r>
      <w:proofErr w:type="spellEnd"/>
      <w:r w:rsidRPr="005A58D4">
        <w:rPr>
          <w:color w:val="000000"/>
        </w:rPr>
        <w:t xml:space="preserve"> kanser tedavisinde </w:t>
      </w:r>
      <w:proofErr w:type="spellStart"/>
      <w:r w:rsidRPr="005A58D4">
        <w:rPr>
          <w:color w:val="000000"/>
        </w:rPr>
        <w:t>progresyona</w:t>
      </w:r>
      <w:proofErr w:type="spellEnd"/>
      <w:r w:rsidRPr="005A58D4">
        <w:rPr>
          <w:color w:val="000000"/>
        </w:rPr>
        <w:t xml:space="preserve"> kadar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w:t>
      </w:r>
      <w:proofErr w:type="spellStart"/>
      <w:r w:rsidRPr="005A58D4">
        <w:rPr>
          <w:color w:val="000000"/>
        </w:rPr>
        <w:t>progresyon</w:t>
      </w:r>
      <w:proofErr w:type="spellEnd"/>
      <w:r w:rsidRPr="005A58D4">
        <w:rPr>
          <w:color w:val="000000"/>
        </w:rPr>
        <w:t xml:space="preserve"> olmadığı belirtilmelidir. </w:t>
      </w:r>
    </w:p>
    <w:p w:rsidR="005A58D4" w:rsidRDefault="005A58D4">
      <w:pPr>
        <w:rPr>
          <w:color w:val="000000"/>
        </w:rPr>
      </w:pPr>
      <w:r w:rsidRPr="005A58D4">
        <w:rPr>
          <w:color w:val="000000"/>
        </w:rPr>
        <w:t>3) Sağlık Bakanlığından hasta</w:t>
      </w:r>
      <w:r>
        <w:rPr>
          <w:color w:val="000000"/>
        </w:rPr>
        <w:t xml:space="preserve"> bazında alınacak </w:t>
      </w:r>
      <w:proofErr w:type="spellStart"/>
      <w:r>
        <w:rPr>
          <w:color w:val="000000"/>
        </w:rPr>
        <w:t>endikasyon</w:t>
      </w:r>
      <w:proofErr w:type="spellEnd"/>
      <w:r>
        <w:rPr>
          <w:color w:val="000000"/>
        </w:rPr>
        <w:t xml:space="preserve"> dış</w:t>
      </w:r>
      <w:r w:rsidRPr="005A58D4">
        <w:rPr>
          <w:color w:val="000000"/>
        </w:rPr>
        <w:t xml:space="preserve">ı onaya dayanılarak klasik </w:t>
      </w:r>
      <w:proofErr w:type="spellStart"/>
      <w:r w:rsidRPr="005A58D4">
        <w:rPr>
          <w:color w:val="000000"/>
        </w:rPr>
        <w:t>hodgkin</w:t>
      </w:r>
      <w:proofErr w:type="spellEnd"/>
      <w:r w:rsidRPr="005A58D4">
        <w:rPr>
          <w:color w:val="000000"/>
        </w:rPr>
        <w:t xml:space="preserve"> </w:t>
      </w:r>
      <w:proofErr w:type="spellStart"/>
      <w:r w:rsidRPr="005A58D4">
        <w:rPr>
          <w:color w:val="000000"/>
        </w:rPr>
        <w:t>lenfoma</w:t>
      </w:r>
      <w:proofErr w:type="spellEnd"/>
      <w:r w:rsidRPr="005A58D4">
        <w:rPr>
          <w:color w:val="000000"/>
        </w:rPr>
        <w:t xml:space="preserve"> </w:t>
      </w:r>
      <w:proofErr w:type="spellStart"/>
      <w:r w:rsidRPr="005A58D4">
        <w:rPr>
          <w:color w:val="000000"/>
        </w:rPr>
        <w:t>endikasyonunda</w:t>
      </w:r>
      <w:proofErr w:type="spellEnd"/>
      <w:r w:rsidRPr="005A58D4">
        <w:rPr>
          <w:color w:val="000000"/>
        </w:rPr>
        <w:t xml:space="preserve">, </w:t>
      </w:r>
      <w:proofErr w:type="spellStart"/>
      <w:r w:rsidRPr="005A58D4">
        <w:rPr>
          <w:color w:val="000000"/>
        </w:rPr>
        <w:t>otolog</w:t>
      </w:r>
      <w:proofErr w:type="spellEnd"/>
      <w:r w:rsidRPr="005A58D4">
        <w:rPr>
          <w:color w:val="000000"/>
        </w:rPr>
        <w:t xml:space="preserve"> kök hücre nakli sonrasında </w:t>
      </w:r>
      <w:proofErr w:type="spellStart"/>
      <w:r w:rsidRPr="005A58D4">
        <w:rPr>
          <w:color w:val="000000"/>
        </w:rPr>
        <w:t>brentuksimab</w:t>
      </w:r>
      <w:proofErr w:type="spellEnd"/>
      <w:r w:rsidRPr="005A58D4">
        <w:rPr>
          <w:color w:val="000000"/>
        </w:rPr>
        <w:t xml:space="preserve"> tedavisi ile </w:t>
      </w:r>
      <w:proofErr w:type="spellStart"/>
      <w:r w:rsidRPr="005A58D4">
        <w:rPr>
          <w:color w:val="000000"/>
        </w:rPr>
        <w:t>progresyon</w:t>
      </w:r>
      <w:proofErr w:type="spellEnd"/>
      <w:r w:rsidRPr="005A58D4">
        <w:rPr>
          <w:color w:val="000000"/>
        </w:rPr>
        <w:t xml:space="preserve"> gösteren veya </w:t>
      </w:r>
      <w:proofErr w:type="spellStart"/>
      <w:r w:rsidRPr="005A58D4">
        <w:rPr>
          <w:color w:val="000000"/>
        </w:rPr>
        <w:t>relaps</w:t>
      </w:r>
      <w:proofErr w:type="spellEnd"/>
      <w:r w:rsidRPr="005A58D4">
        <w:rPr>
          <w:color w:val="000000"/>
        </w:rPr>
        <w:t xml:space="preserve"> olan hastalarda kullanılır. Bu durumların belirtildiği, en az bir tıbbi onkoloji veya hematoloji uzman hekiminin yer aldığı tedavi protokolünü de gösterir 6 ay süreli sağlık kurulu raporuna dayanılarak tıbbi onkoloji veya hematoloji uzman hekimleri tarafından reçete edilmesi halinde bedeli ödenir.</w:t>
      </w:r>
    </w:p>
    <w:p w:rsidR="00045E6F" w:rsidRPr="00957401" w:rsidRDefault="00045E6F">
      <w:pPr>
        <w:rPr>
          <w:b/>
          <w:color w:val="000000"/>
        </w:rPr>
      </w:pPr>
      <w:r w:rsidRPr="00957401">
        <w:rPr>
          <w:b/>
          <w:color w:val="000000"/>
        </w:rPr>
        <w:t>4.2.16 - Doğuş</w:t>
      </w:r>
      <w:r w:rsidR="005A58D4" w:rsidRPr="00957401">
        <w:rPr>
          <w:b/>
          <w:color w:val="000000"/>
        </w:rPr>
        <w:t xml:space="preserve">tan </w:t>
      </w:r>
      <w:proofErr w:type="spellStart"/>
      <w:r w:rsidR="005A58D4" w:rsidRPr="00957401">
        <w:rPr>
          <w:b/>
          <w:color w:val="000000"/>
        </w:rPr>
        <w:t>metabolik</w:t>
      </w:r>
      <w:proofErr w:type="spellEnd"/>
      <w:r w:rsidR="005A58D4" w:rsidRPr="00957401">
        <w:rPr>
          <w:b/>
          <w:color w:val="000000"/>
        </w:rPr>
        <w:t xml:space="preserve"> hastalıklar, Gıda </w:t>
      </w:r>
      <w:proofErr w:type="spellStart"/>
      <w:r w:rsidR="005A58D4" w:rsidRPr="00957401">
        <w:rPr>
          <w:b/>
          <w:color w:val="000000"/>
        </w:rPr>
        <w:t>allerjile</w:t>
      </w:r>
      <w:r w:rsidRPr="00957401">
        <w:rPr>
          <w:b/>
          <w:color w:val="000000"/>
        </w:rPr>
        <w:t>ri</w:t>
      </w:r>
      <w:proofErr w:type="spellEnd"/>
      <w:r w:rsidRPr="00957401">
        <w:rPr>
          <w:b/>
          <w:color w:val="000000"/>
        </w:rPr>
        <w:t xml:space="preserve"> ile </w:t>
      </w:r>
      <w:proofErr w:type="spellStart"/>
      <w:r w:rsidRPr="00957401">
        <w:rPr>
          <w:b/>
          <w:color w:val="000000"/>
        </w:rPr>
        <w:t>Çölyak</w:t>
      </w:r>
      <w:proofErr w:type="spellEnd"/>
      <w:r w:rsidRPr="00957401">
        <w:rPr>
          <w:b/>
          <w:color w:val="000000"/>
        </w:rPr>
        <w:t xml:space="preserve"> Hastalığı</w:t>
      </w:r>
    </w:p>
    <w:p w:rsidR="005A58D4" w:rsidRDefault="00045E6F">
      <w:pPr>
        <w:rPr>
          <w:color w:val="000000"/>
        </w:rPr>
      </w:pPr>
      <w:r>
        <w:rPr>
          <w:color w:val="000000"/>
        </w:rPr>
        <w:t xml:space="preserve"> (5) İki yaş</w:t>
      </w:r>
      <w:r w:rsidR="005A58D4" w:rsidRPr="005A58D4">
        <w:rPr>
          <w:color w:val="000000"/>
        </w:rPr>
        <w:t>ına kadar inek sütü ve/veya çoklu gıda protein alerjisi olan bebeklere öncelikle iler</w:t>
      </w:r>
      <w:r>
        <w:rPr>
          <w:color w:val="000000"/>
        </w:rPr>
        <w:t>i derecede hidrolize mamalar başlanır. İ</w:t>
      </w:r>
      <w:r w:rsidR="005A58D4" w:rsidRPr="005A58D4">
        <w:rPr>
          <w:color w:val="000000"/>
        </w:rPr>
        <w:t xml:space="preserve">leri derecede hidrolize mamanın </w:t>
      </w:r>
      <w:proofErr w:type="spellStart"/>
      <w:r w:rsidR="005A58D4" w:rsidRPr="005A58D4">
        <w:rPr>
          <w:color w:val="000000"/>
        </w:rPr>
        <w:t>tolere</w:t>
      </w:r>
      <w:proofErr w:type="spellEnd"/>
      <w:r w:rsidR="005A58D4" w:rsidRPr="005A58D4">
        <w:rPr>
          <w:color w:val="000000"/>
        </w:rPr>
        <w:t xml:space="preserve"> edilemediği durumlarda, anafilakside, </w:t>
      </w:r>
      <w:proofErr w:type="spellStart"/>
      <w:r w:rsidR="005A58D4" w:rsidRPr="005A58D4">
        <w:rPr>
          <w:color w:val="000000"/>
        </w:rPr>
        <w:t>enteropatide</w:t>
      </w:r>
      <w:proofErr w:type="spellEnd"/>
      <w:r w:rsidR="005A58D4" w:rsidRPr="005A58D4">
        <w:rPr>
          <w:color w:val="000000"/>
        </w:rPr>
        <w:t xml:space="preserve">, </w:t>
      </w:r>
      <w:proofErr w:type="spellStart"/>
      <w:r w:rsidR="005A58D4" w:rsidRPr="005A58D4">
        <w:rPr>
          <w:color w:val="000000"/>
        </w:rPr>
        <w:t>eozinofili</w:t>
      </w:r>
      <w:r>
        <w:rPr>
          <w:color w:val="000000"/>
        </w:rPr>
        <w:t>k</w:t>
      </w:r>
      <w:proofErr w:type="spellEnd"/>
      <w:r>
        <w:rPr>
          <w:color w:val="000000"/>
        </w:rPr>
        <w:t xml:space="preserve"> </w:t>
      </w:r>
      <w:proofErr w:type="spellStart"/>
      <w:r>
        <w:rPr>
          <w:color w:val="000000"/>
        </w:rPr>
        <w:t>özofajitte</w:t>
      </w:r>
      <w:proofErr w:type="spellEnd"/>
      <w:r>
        <w:rPr>
          <w:color w:val="000000"/>
        </w:rPr>
        <w:t>, besin protein iliş</w:t>
      </w:r>
      <w:r w:rsidR="005A58D4" w:rsidRPr="005A58D4">
        <w:rPr>
          <w:color w:val="000000"/>
        </w:rPr>
        <w:t xml:space="preserve">kili </w:t>
      </w:r>
      <w:proofErr w:type="spellStart"/>
      <w:r w:rsidR="005A58D4" w:rsidRPr="005A58D4">
        <w:rPr>
          <w:color w:val="000000"/>
        </w:rPr>
        <w:t>enterokolit</w:t>
      </w:r>
      <w:proofErr w:type="spellEnd"/>
      <w:r w:rsidR="005A58D4" w:rsidRPr="005A58D4">
        <w:rPr>
          <w:color w:val="000000"/>
        </w:rPr>
        <w:t xml:space="preserve"> </w:t>
      </w:r>
      <w:proofErr w:type="gramStart"/>
      <w:r w:rsidR="005A58D4" w:rsidRPr="005A58D4">
        <w:rPr>
          <w:color w:val="000000"/>
        </w:rPr>
        <w:t>sendromunda</w:t>
      </w:r>
      <w:proofErr w:type="gramEnd"/>
      <w:r w:rsidR="005A58D4" w:rsidRPr="005A58D4">
        <w:rPr>
          <w:color w:val="000000"/>
        </w:rPr>
        <w:t xml:space="preserve"> veya çoklu besin alerjileri gibi ağır vakalarda aminoasit bazlı veya pirinç proteini bazlı mamalar kullanılır. Bu durumların belirtildiği;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w:t>
      </w:r>
      <w:r>
        <w:rPr>
          <w:color w:val="000000"/>
        </w:rPr>
        <w:t>mesi halinde bedeli Kurumca karş</w:t>
      </w:r>
      <w:r w:rsidR="005A58D4" w:rsidRPr="005A58D4">
        <w:rPr>
          <w:color w:val="000000"/>
        </w:rPr>
        <w:t>ılanır.</w:t>
      </w:r>
    </w:p>
    <w:p w:rsidR="005A58D4" w:rsidRDefault="00045E6F">
      <w:pPr>
        <w:rPr>
          <w:color w:val="000000"/>
        </w:rPr>
      </w:pPr>
      <w:r w:rsidRPr="00045E6F">
        <w:rPr>
          <w:color w:val="000000"/>
        </w:rPr>
        <w:t xml:space="preserve">(6) </w:t>
      </w:r>
      <w:proofErr w:type="spellStart"/>
      <w:r w:rsidRPr="00045E6F">
        <w:rPr>
          <w:color w:val="000000"/>
        </w:rPr>
        <w:t>Çölyak</w:t>
      </w:r>
      <w:proofErr w:type="spellEnd"/>
      <w:r w:rsidRPr="00045E6F">
        <w:rPr>
          <w:color w:val="000000"/>
        </w:rPr>
        <w:t xml:space="preserve"> hastalığında; gastroenteroloji uzman hekimi tarafından, bu uzman hekimlerin bulunmadığı hastanelerde çocuk sağlığı ve hastalıkları veya iç hastalıkları uzman hekimlerince </w:t>
      </w:r>
      <w:r w:rsidRPr="00045E6F">
        <w:rPr>
          <w:b/>
          <w:color w:val="000000"/>
        </w:rPr>
        <w:t>3 yıl</w:t>
      </w:r>
      <w:r w:rsidRPr="00045E6F">
        <w:rPr>
          <w:color w:val="000000"/>
        </w:rPr>
        <w:t xml:space="preserve"> süreli rapor düzenlenir.</w:t>
      </w:r>
    </w:p>
    <w:p w:rsidR="00AE41F9" w:rsidRDefault="00AE41F9">
      <w:pPr>
        <w:rPr>
          <w:color w:val="000000"/>
        </w:rPr>
      </w:pPr>
    </w:p>
    <w:p w:rsidR="00045E6F" w:rsidRPr="00957401" w:rsidRDefault="00045E6F">
      <w:pPr>
        <w:rPr>
          <w:b/>
          <w:color w:val="000000"/>
        </w:rPr>
      </w:pPr>
      <w:r w:rsidRPr="00957401">
        <w:rPr>
          <w:b/>
          <w:color w:val="000000"/>
        </w:rPr>
        <w:lastRenderedPageBreak/>
        <w:t xml:space="preserve">4.2.17.A – Osteoporoz </w:t>
      </w:r>
    </w:p>
    <w:p w:rsidR="00045E6F" w:rsidRPr="00045E6F" w:rsidRDefault="00045E6F">
      <w:pPr>
        <w:rPr>
          <w:color w:val="000000"/>
        </w:rPr>
      </w:pPr>
      <w:r w:rsidRPr="00045E6F">
        <w:rPr>
          <w:color w:val="000000"/>
        </w:rPr>
        <w:t xml:space="preserve">(1) Osteoporoz tedavisinde </w:t>
      </w:r>
      <w:proofErr w:type="spellStart"/>
      <w:r w:rsidRPr="00045E6F">
        <w:rPr>
          <w:color w:val="000000"/>
        </w:rPr>
        <w:t>bifosfonatlar</w:t>
      </w:r>
      <w:proofErr w:type="spellEnd"/>
      <w:r w:rsidRPr="00045E6F">
        <w:rPr>
          <w:color w:val="000000"/>
        </w:rPr>
        <w:t xml:space="preserve"> (kombinasyonları </w:t>
      </w:r>
      <w:proofErr w:type="gramStart"/>
      <w:r w:rsidRPr="00045E6F">
        <w:rPr>
          <w:color w:val="000000"/>
        </w:rPr>
        <w:t>dahil</w:t>
      </w:r>
      <w:proofErr w:type="gramEnd"/>
      <w:r w:rsidRPr="00045E6F">
        <w:rPr>
          <w:color w:val="000000"/>
        </w:rPr>
        <w:t>) ve diğer osteoporoz ilaçları (</w:t>
      </w:r>
      <w:proofErr w:type="spellStart"/>
      <w:r w:rsidRPr="00045E6F">
        <w:rPr>
          <w:color w:val="000000"/>
        </w:rPr>
        <w:t>raloksifen</w:t>
      </w:r>
      <w:proofErr w:type="spellEnd"/>
      <w:r w:rsidRPr="00045E6F">
        <w:rPr>
          <w:color w:val="000000"/>
        </w:rPr>
        <w:t xml:space="preserve">, </w:t>
      </w:r>
      <w:proofErr w:type="spellStart"/>
      <w:r w:rsidRPr="00045E6F">
        <w:rPr>
          <w:color w:val="000000"/>
        </w:rPr>
        <w:t>calcitonin</w:t>
      </w:r>
      <w:proofErr w:type="spellEnd"/>
      <w:r w:rsidRPr="00045E6F">
        <w:rPr>
          <w:color w:val="000000"/>
        </w:rPr>
        <w:t xml:space="preserve">, stronsiyum </w:t>
      </w:r>
      <w:proofErr w:type="spellStart"/>
      <w:r w:rsidRPr="00045E6F">
        <w:rPr>
          <w:color w:val="000000"/>
        </w:rPr>
        <w:t>ranelat</w:t>
      </w:r>
      <w:proofErr w:type="spellEnd"/>
      <w:r w:rsidRPr="00045E6F">
        <w:rPr>
          <w:color w:val="000000"/>
        </w:rPr>
        <w:t xml:space="preserve"> (kombinasyonları dahil), </w:t>
      </w:r>
      <w:proofErr w:type="spellStart"/>
      <w:r w:rsidRPr="00045E6F">
        <w:rPr>
          <w:color w:val="000000"/>
        </w:rPr>
        <w:t>d</w:t>
      </w:r>
      <w:r>
        <w:rPr>
          <w:color w:val="000000"/>
        </w:rPr>
        <w:t>enosumab</w:t>
      </w:r>
      <w:proofErr w:type="spellEnd"/>
      <w:r>
        <w:rPr>
          <w:color w:val="000000"/>
        </w:rPr>
        <w:t>) aşağıda belirtilen koş</w:t>
      </w:r>
      <w:r w:rsidRPr="00045E6F">
        <w:rPr>
          <w:color w:val="000000"/>
        </w:rPr>
        <w:t xml:space="preserve">ullar çerçevesinde ödenir. Bu ilaçlar tedavi süresinin belirtildiği sağlık raporuna dayanılarak reçete edilirler. </w:t>
      </w:r>
      <w:r w:rsidRPr="00045E6F">
        <w:rPr>
          <w:b/>
          <w:color w:val="000000"/>
        </w:rPr>
        <w:t>Rapor süresi 2 yıldır</w:t>
      </w:r>
      <w:r w:rsidRPr="00045E6F">
        <w:rPr>
          <w:color w:val="000000"/>
        </w:rPr>
        <w:t xml:space="preserve">. Bu grup ilaçların birlikte kombine kullanımı halinde sadece birinin bedeli ödenir. </w:t>
      </w:r>
    </w:p>
    <w:p w:rsidR="00045E6F" w:rsidRDefault="00045E6F">
      <w:pPr>
        <w:rPr>
          <w:color w:val="000000"/>
        </w:rPr>
      </w:pPr>
      <w:r w:rsidRPr="00045E6F">
        <w:rPr>
          <w:color w:val="000000"/>
        </w:rPr>
        <w:t xml:space="preserve">(2) Osteoporozda ilaç tedavisi, düzenlenecek rapor tarihinden önce </w:t>
      </w:r>
      <w:r w:rsidRPr="00045E6F">
        <w:rPr>
          <w:b/>
          <w:color w:val="000000"/>
        </w:rPr>
        <w:t>son iki yıl</w:t>
      </w:r>
      <w:r w:rsidRPr="00045E6F">
        <w:rPr>
          <w:color w:val="000000"/>
        </w:rPr>
        <w:t xml:space="preserve"> içinde yapılan Kemik Mineral Yoğunluk (KMY) ölçümüyle planlanır.</w:t>
      </w:r>
    </w:p>
    <w:p w:rsidR="00045E6F" w:rsidRPr="00957401" w:rsidRDefault="00045E6F">
      <w:pPr>
        <w:rPr>
          <w:b/>
          <w:color w:val="000000"/>
        </w:rPr>
      </w:pPr>
      <w:r w:rsidRPr="00957401">
        <w:rPr>
          <w:b/>
          <w:color w:val="000000"/>
        </w:rPr>
        <w:t xml:space="preserve">4.2.23 - </w:t>
      </w:r>
      <w:proofErr w:type="spellStart"/>
      <w:r w:rsidRPr="00957401">
        <w:rPr>
          <w:b/>
          <w:color w:val="000000"/>
        </w:rPr>
        <w:t>Amfoterisin</w:t>
      </w:r>
      <w:proofErr w:type="spellEnd"/>
      <w:r w:rsidRPr="00957401">
        <w:rPr>
          <w:b/>
          <w:color w:val="000000"/>
        </w:rPr>
        <w:t xml:space="preserve">-B, </w:t>
      </w:r>
      <w:proofErr w:type="spellStart"/>
      <w:r w:rsidRPr="00957401">
        <w:rPr>
          <w:b/>
          <w:color w:val="000000"/>
        </w:rPr>
        <w:t>kaspofungin</w:t>
      </w:r>
      <w:proofErr w:type="spellEnd"/>
      <w:r w:rsidRPr="00957401">
        <w:rPr>
          <w:b/>
          <w:color w:val="000000"/>
        </w:rPr>
        <w:t xml:space="preserve">, </w:t>
      </w:r>
      <w:proofErr w:type="spellStart"/>
      <w:r w:rsidRPr="00957401">
        <w:rPr>
          <w:b/>
          <w:color w:val="000000"/>
        </w:rPr>
        <w:t>anidilofungin</w:t>
      </w:r>
      <w:proofErr w:type="spellEnd"/>
      <w:r w:rsidRPr="00957401">
        <w:rPr>
          <w:b/>
          <w:color w:val="000000"/>
        </w:rPr>
        <w:t xml:space="preserve">, </w:t>
      </w:r>
      <w:proofErr w:type="spellStart"/>
      <w:r w:rsidRPr="00957401">
        <w:rPr>
          <w:b/>
          <w:color w:val="000000"/>
        </w:rPr>
        <w:t>vorikonazol</w:t>
      </w:r>
      <w:proofErr w:type="spellEnd"/>
      <w:r w:rsidRPr="00957401">
        <w:rPr>
          <w:b/>
          <w:color w:val="000000"/>
        </w:rPr>
        <w:t xml:space="preserve">, </w:t>
      </w:r>
      <w:proofErr w:type="spellStart"/>
      <w:r w:rsidRPr="00957401">
        <w:rPr>
          <w:b/>
          <w:color w:val="000000"/>
        </w:rPr>
        <w:t>posakonazol</w:t>
      </w:r>
      <w:proofErr w:type="spellEnd"/>
      <w:r w:rsidRPr="00957401">
        <w:rPr>
          <w:b/>
          <w:color w:val="000000"/>
        </w:rPr>
        <w:t xml:space="preserve"> (oral süspansiyon ve tablet formu), </w:t>
      </w:r>
      <w:proofErr w:type="spellStart"/>
      <w:r w:rsidRPr="00957401">
        <w:rPr>
          <w:b/>
          <w:color w:val="000000"/>
        </w:rPr>
        <w:t>ıtrakonazol</w:t>
      </w:r>
      <w:proofErr w:type="spellEnd"/>
      <w:r w:rsidRPr="00957401">
        <w:rPr>
          <w:b/>
          <w:color w:val="000000"/>
        </w:rPr>
        <w:t xml:space="preserve"> (</w:t>
      </w:r>
      <w:proofErr w:type="spellStart"/>
      <w:r w:rsidRPr="00957401">
        <w:rPr>
          <w:b/>
          <w:color w:val="000000"/>
        </w:rPr>
        <w:t>infüzyon</w:t>
      </w:r>
      <w:proofErr w:type="spellEnd"/>
      <w:r w:rsidRPr="00957401">
        <w:rPr>
          <w:b/>
          <w:color w:val="000000"/>
        </w:rPr>
        <w:t xml:space="preserve"> ve solüsyon), </w:t>
      </w:r>
      <w:proofErr w:type="spellStart"/>
      <w:r w:rsidRPr="00957401">
        <w:rPr>
          <w:b/>
          <w:color w:val="000000"/>
        </w:rPr>
        <w:t>mikafungin</w:t>
      </w:r>
      <w:proofErr w:type="spellEnd"/>
      <w:r w:rsidRPr="00957401">
        <w:rPr>
          <w:b/>
          <w:color w:val="000000"/>
        </w:rPr>
        <w:t xml:space="preserve"> kullanım ilkeleri </w:t>
      </w:r>
    </w:p>
    <w:p w:rsidR="00045E6F" w:rsidRDefault="00045E6F">
      <w:pPr>
        <w:rPr>
          <w:color w:val="000000"/>
        </w:rPr>
      </w:pPr>
      <w:r w:rsidRPr="00045E6F">
        <w:rPr>
          <w:color w:val="000000"/>
        </w:rPr>
        <w:t xml:space="preserve">(6) </w:t>
      </w:r>
      <w:proofErr w:type="spellStart"/>
      <w:r w:rsidRPr="00045E6F">
        <w:rPr>
          <w:color w:val="000000"/>
        </w:rPr>
        <w:t>Mikafungin</w:t>
      </w:r>
      <w:proofErr w:type="spellEnd"/>
      <w:r w:rsidR="008C6436">
        <w:rPr>
          <w:color w:val="000000"/>
        </w:rPr>
        <w:t xml:space="preserve"> </w:t>
      </w:r>
      <w:r w:rsidR="008C6436" w:rsidRPr="008C6436">
        <w:rPr>
          <w:b/>
          <w:color w:val="000000"/>
        </w:rPr>
        <w:t>(MYCAMINE)</w:t>
      </w:r>
      <w:r w:rsidRPr="00045E6F">
        <w:rPr>
          <w:color w:val="000000"/>
        </w:rPr>
        <w:t xml:space="preserve">; </w:t>
      </w:r>
    </w:p>
    <w:p w:rsidR="00045E6F" w:rsidRDefault="00045E6F">
      <w:pPr>
        <w:rPr>
          <w:color w:val="000000"/>
        </w:rPr>
      </w:pPr>
      <w:r>
        <w:rPr>
          <w:color w:val="000000"/>
        </w:rPr>
        <w:t xml:space="preserve">1) </w:t>
      </w:r>
      <w:proofErr w:type="spellStart"/>
      <w:r>
        <w:rPr>
          <w:color w:val="000000"/>
        </w:rPr>
        <w:t>İ</w:t>
      </w:r>
      <w:r w:rsidRPr="00045E6F">
        <w:rPr>
          <w:color w:val="000000"/>
        </w:rPr>
        <w:t>nvaziv</w:t>
      </w:r>
      <w:proofErr w:type="spellEnd"/>
      <w:r w:rsidRPr="00045E6F">
        <w:rPr>
          <w:color w:val="000000"/>
        </w:rPr>
        <w:t xml:space="preserve"> </w:t>
      </w:r>
      <w:proofErr w:type="spellStart"/>
      <w:r w:rsidRPr="00045E6F">
        <w:rPr>
          <w:color w:val="000000"/>
        </w:rPr>
        <w:t>kandidiyazis</w:t>
      </w:r>
      <w:proofErr w:type="spellEnd"/>
      <w:r w:rsidRPr="00045E6F">
        <w:rPr>
          <w:color w:val="000000"/>
        </w:rPr>
        <w:t xml:space="preserve"> ve </w:t>
      </w:r>
      <w:proofErr w:type="spellStart"/>
      <w:r w:rsidRPr="00045E6F">
        <w:rPr>
          <w:color w:val="000000"/>
        </w:rPr>
        <w:t>özofajiyal</w:t>
      </w:r>
      <w:proofErr w:type="spellEnd"/>
      <w:r w:rsidRPr="00045E6F">
        <w:rPr>
          <w:color w:val="000000"/>
        </w:rPr>
        <w:t xml:space="preserve"> </w:t>
      </w:r>
      <w:proofErr w:type="spellStart"/>
      <w:r w:rsidRPr="00045E6F">
        <w:rPr>
          <w:color w:val="000000"/>
        </w:rPr>
        <w:t>kandidiyazis</w:t>
      </w:r>
      <w:proofErr w:type="spellEnd"/>
      <w:r w:rsidRPr="00045E6F">
        <w:rPr>
          <w:color w:val="000000"/>
        </w:rPr>
        <w:t xml:space="preserve"> </w:t>
      </w:r>
      <w:proofErr w:type="spellStart"/>
      <w:r w:rsidRPr="00045E6F">
        <w:rPr>
          <w:color w:val="000000"/>
        </w:rPr>
        <w:t>endikasyonlarında</w:t>
      </w:r>
      <w:proofErr w:type="spellEnd"/>
      <w:r w:rsidRPr="00045E6F">
        <w:rPr>
          <w:color w:val="000000"/>
        </w:rPr>
        <w:t xml:space="preserve"> kullanılır.</w:t>
      </w:r>
    </w:p>
    <w:p w:rsidR="00045E6F" w:rsidRDefault="00045E6F">
      <w:pPr>
        <w:rPr>
          <w:color w:val="000000"/>
        </w:rPr>
      </w:pPr>
      <w:r w:rsidRPr="00045E6F">
        <w:rPr>
          <w:color w:val="000000"/>
        </w:rPr>
        <w:t xml:space="preserve"> 2) </w:t>
      </w:r>
      <w:proofErr w:type="spellStart"/>
      <w:r w:rsidRPr="00045E6F">
        <w:rPr>
          <w:color w:val="000000"/>
        </w:rPr>
        <w:t>Allojenik</w:t>
      </w:r>
      <w:proofErr w:type="spellEnd"/>
      <w:r w:rsidRPr="00045E6F">
        <w:rPr>
          <w:color w:val="000000"/>
        </w:rPr>
        <w:t xml:space="preserve"> </w:t>
      </w:r>
      <w:proofErr w:type="spellStart"/>
      <w:r w:rsidRPr="00045E6F">
        <w:rPr>
          <w:color w:val="000000"/>
        </w:rPr>
        <w:t>hematopoietik</w:t>
      </w:r>
      <w:proofErr w:type="spellEnd"/>
      <w:r w:rsidRPr="00045E6F">
        <w:rPr>
          <w:color w:val="000000"/>
        </w:rPr>
        <w:t xml:space="preserve"> kök hücre nakli (HSCT) yapılan hastalarda veya akut </w:t>
      </w:r>
      <w:proofErr w:type="spellStart"/>
      <w:r w:rsidRPr="00045E6F">
        <w:rPr>
          <w:color w:val="000000"/>
        </w:rPr>
        <w:t>lenfositer</w:t>
      </w:r>
      <w:proofErr w:type="spellEnd"/>
      <w:r w:rsidRPr="00045E6F">
        <w:rPr>
          <w:color w:val="000000"/>
        </w:rPr>
        <w:t xml:space="preserve"> lösemi (ALL) hastalarında </w:t>
      </w:r>
      <w:proofErr w:type="spellStart"/>
      <w:r w:rsidRPr="00045E6F">
        <w:rPr>
          <w:color w:val="000000"/>
        </w:rPr>
        <w:t>nötropenik</w:t>
      </w:r>
      <w:proofErr w:type="spellEnd"/>
      <w:r w:rsidRPr="00045E6F">
        <w:rPr>
          <w:color w:val="000000"/>
        </w:rPr>
        <w:t xml:space="preserve"> dönemde ve takip eden bir hafta içinde veya </w:t>
      </w:r>
      <w:proofErr w:type="spellStart"/>
      <w:r w:rsidRPr="00045E6F">
        <w:rPr>
          <w:color w:val="000000"/>
        </w:rPr>
        <w:t>mukoziti</w:t>
      </w:r>
      <w:proofErr w:type="spellEnd"/>
      <w:r w:rsidRPr="00045E6F">
        <w:rPr>
          <w:color w:val="000000"/>
        </w:rPr>
        <w:t xml:space="preserve"> olan </w:t>
      </w:r>
      <w:proofErr w:type="spellStart"/>
      <w:r w:rsidRPr="00045E6F">
        <w:rPr>
          <w:color w:val="000000"/>
        </w:rPr>
        <w:t>otolog</w:t>
      </w:r>
      <w:proofErr w:type="spellEnd"/>
      <w:r w:rsidRPr="00045E6F">
        <w:rPr>
          <w:color w:val="000000"/>
        </w:rPr>
        <w:t xml:space="preserve"> </w:t>
      </w:r>
      <w:proofErr w:type="spellStart"/>
      <w:r w:rsidRPr="00045E6F">
        <w:rPr>
          <w:color w:val="000000"/>
        </w:rPr>
        <w:t>hematopoietik</w:t>
      </w:r>
      <w:proofErr w:type="spellEnd"/>
      <w:r w:rsidRPr="00045E6F">
        <w:rPr>
          <w:color w:val="000000"/>
        </w:rPr>
        <w:t xml:space="preserve"> kök hücre nakli yapılan hastalarda </w:t>
      </w:r>
      <w:proofErr w:type="spellStart"/>
      <w:r w:rsidRPr="00045E6F">
        <w:rPr>
          <w:color w:val="000000"/>
        </w:rPr>
        <w:t>nötropenik</w:t>
      </w:r>
      <w:proofErr w:type="spellEnd"/>
      <w:r w:rsidRPr="00045E6F">
        <w:rPr>
          <w:color w:val="000000"/>
        </w:rPr>
        <w:t xml:space="preserve"> dönemde </w:t>
      </w:r>
      <w:proofErr w:type="spellStart"/>
      <w:r w:rsidRPr="00045E6F">
        <w:rPr>
          <w:color w:val="000000"/>
        </w:rPr>
        <w:t>aspergilloz</w:t>
      </w:r>
      <w:proofErr w:type="spellEnd"/>
      <w:r w:rsidRPr="00045E6F">
        <w:rPr>
          <w:color w:val="000000"/>
        </w:rPr>
        <w:t xml:space="preserve"> ve </w:t>
      </w:r>
      <w:proofErr w:type="spellStart"/>
      <w:r w:rsidRPr="00045E6F">
        <w:rPr>
          <w:color w:val="000000"/>
        </w:rPr>
        <w:t>candida</w:t>
      </w:r>
      <w:proofErr w:type="spellEnd"/>
      <w:r w:rsidRPr="00045E6F">
        <w:rPr>
          <w:color w:val="000000"/>
        </w:rPr>
        <w:t xml:space="preserve"> </w:t>
      </w:r>
      <w:proofErr w:type="gramStart"/>
      <w:r w:rsidRPr="00045E6F">
        <w:rPr>
          <w:color w:val="000000"/>
        </w:rPr>
        <w:t>enfeksiyonlarının</w:t>
      </w:r>
      <w:proofErr w:type="gramEnd"/>
      <w:r w:rsidRPr="00045E6F">
        <w:rPr>
          <w:color w:val="000000"/>
        </w:rPr>
        <w:t xml:space="preserve"> </w:t>
      </w:r>
      <w:proofErr w:type="spellStart"/>
      <w:r w:rsidRPr="00045E6F">
        <w:rPr>
          <w:color w:val="000000"/>
        </w:rPr>
        <w:t>profilaksisinde</w:t>
      </w:r>
      <w:proofErr w:type="spellEnd"/>
      <w:r w:rsidRPr="00045E6F">
        <w:rPr>
          <w:color w:val="000000"/>
        </w:rPr>
        <w:t xml:space="preserve"> kullanılır. </w:t>
      </w:r>
    </w:p>
    <w:p w:rsidR="00045E6F" w:rsidRDefault="00045E6F">
      <w:pPr>
        <w:rPr>
          <w:color w:val="000000"/>
        </w:rPr>
      </w:pPr>
      <w:r w:rsidRPr="00045E6F">
        <w:rPr>
          <w:color w:val="000000"/>
        </w:rPr>
        <w:t xml:space="preserve">3) 10 gün veya daha uzun süreyle </w:t>
      </w:r>
      <w:proofErr w:type="spellStart"/>
      <w:r w:rsidRPr="00045E6F">
        <w:rPr>
          <w:color w:val="000000"/>
        </w:rPr>
        <w:t>nötropeni</w:t>
      </w:r>
      <w:proofErr w:type="spellEnd"/>
      <w:r w:rsidRPr="00045E6F">
        <w:rPr>
          <w:color w:val="000000"/>
        </w:rPr>
        <w:t xml:space="preserve"> olması beklenen diğer hastalarda </w:t>
      </w:r>
      <w:proofErr w:type="spellStart"/>
      <w:r w:rsidRPr="00045E6F">
        <w:rPr>
          <w:color w:val="000000"/>
        </w:rPr>
        <w:t>aspergilloz</w:t>
      </w:r>
      <w:proofErr w:type="spellEnd"/>
      <w:r w:rsidRPr="00045E6F">
        <w:rPr>
          <w:color w:val="000000"/>
        </w:rPr>
        <w:t xml:space="preserve"> ve </w:t>
      </w:r>
      <w:proofErr w:type="spellStart"/>
      <w:r w:rsidRPr="00045E6F">
        <w:rPr>
          <w:color w:val="000000"/>
        </w:rPr>
        <w:t>candida</w:t>
      </w:r>
      <w:proofErr w:type="spellEnd"/>
      <w:r w:rsidRPr="00045E6F">
        <w:rPr>
          <w:color w:val="000000"/>
        </w:rPr>
        <w:t xml:space="preserve"> </w:t>
      </w:r>
      <w:proofErr w:type="gramStart"/>
      <w:r w:rsidRPr="00045E6F">
        <w:rPr>
          <w:color w:val="000000"/>
        </w:rPr>
        <w:t>enfeksiyonlarının</w:t>
      </w:r>
      <w:proofErr w:type="gramEnd"/>
      <w:r w:rsidRPr="00045E6F">
        <w:rPr>
          <w:color w:val="000000"/>
        </w:rPr>
        <w:t xml:space="preserve"> </w:t>
      </w:r>
      <w:proofErr w:type="spellStart"/>
      <w:r w:rsidRPr="00045E6F">
        <w:rPr>
          <w:color w:val="000000"/>
        </w:rPr>
        <w:t>profilaksisi</w:t>
      </w:r>
      <w:proofErr w:type="spellEnd"/>
      <w:r w:rsidRPr="00045E6F">
        <w:rPr>
          <w:color w:val="000000"/>
        </w:rPr>
        <w:t xml:space="preserve"> </w:t>
      </w:r>
      <w:proofErr w:type="spellStart"/>
      <w:r w:rsidRPr="00045E6F">
        <w:rPr>
          <w:color w:val="000000"/>
        </w:rPr>
        <w:t>endikasyonunda</w:t>
      </w:r>
      <w:proofErr w:type="spellEnd"/>
      <w:r w:rsidRPr="00045E6F">
        <w:rPr>
          <w:color w:val="000000"/>
        </w:rPr>
        <w:t xml:space="preserve"> ödenmez.</w:t>
      </w:r>
    </w:p>
    <w:p w:rsidR="00045E6F" w:rsidRDefault="00D027B7">
      <w:pPr>
        <w:rPr>
          <w:color w:val="000000"/>
        </w:rPr>
      </w:pPr>
      <w:r w:rsidRPr="00D027B7">
        <w:rPr>
          <w:color w:val="000000"/>
        </w:rPr>
        <w:t xml:space="preserve">(8) </w:t>
      </w:r>
      <w:proofErr w:type="spellStart"/>
      <w:r w:rsidRPr="00D027B7">
        <w:rPr>
          <w:color w:val="000000"/>
        </w:rPr>
        <w:t>Vorikonazol</w:t>
      </w:r>
      <w:proofErr w:type="spellEnd"/>
      <w:r w:rsidRPr="00D027B7">
        <w:rPr>
          <w:color w:val="000000"/>
        </w:rPr>
        <w:t xml:space="preserve"> 200 mg tablet</w:t>
      </w:r>
      <w:r w:rsidR="008C6436">
        <w:rPr>
          <w:color w:val="000000"/>
        </w:rPr>
        <w:t xml:space="preserve"> </w:t>
      </w:r>
      <w:r w:rsidR="008C6436" w:rsidRPr="008C6436">
        <w:rPr>
          <w:b/>
          <w:color w:val="000000"/>
        </w:rPr>
        <w:t>(FUNGAVOR</w:t>
      </w:r>
      <w:r w:rsidR="008C6436">
        <w:rPr>
          <w:b/>
          <w:color w:val="000000"/>
        </w:rPr>
        <w:t>, TROZASİN, VFEND, VORAZYR, VORZOL</w:t>
      </w:r>
      <w:r w:rsidR="008C6436" w:rsidRPr="008C6436">
        <w:rPr>
          <w:b/>
          <w:color w:val="000000"/>
        </w:rPr>
        <w:t>)</w:t>
      </w:r>
      <w:r w:rsidRPr="00D027B7">
        <w:rPr>
          <w:color w:val="000000"/>
        </w:rPr>
        <w:t xml:space="preserve">; </w:t>
      </w:r>
      <w:proofErr w:type="spellStart"/>
      <w:r w:rsidRPr="00D027B7">
        <w:rPr>
          <w:color w:val="000000"/>
        </w:rPr>
        <w:t>nötropeni</w:t>
      </w:r>
      <w:proofErr w:type="spellEnd"/>
      <w:r w:rsidRPr="00D027B7">
        <w:rPr>
          <w:color w:val="000000"/>
        </w:rPr>
        <w:t xml:space="preserve"> olması beklenen </w:t>
      </w:r>
      <w:proofErr w:type="spellStart"/>
      <w:r w:rsidRPr="00D027B7">
        <w:rPr>
          <w:color w:val="000000"/>
        </w:rPr>
        <w:t>hematopoietik</w:t>
      </w:r>
      <w:proofErr w:type="spellEnd"/>
      <w:r w:rsidRPr="00D027B7">
        <w:rPr>
          <w:color w:val="000000"/>
        </w:rPr>
        <w:t xml:space="preserve"> kök hücre nakli alıcısı hastaların </w:t>
      </w:r>
      <w:proofErr w:type="spellStart"/>
      <w:r w:rsidRPr="00D027B7">
        <w:rPr>
          <w:color w:val="000000"/>
        </w:rPr>
        <w:t>aspergilloz</w:t>
      </w:r>
      <w:proofErr w:type="spellEnd"/>
      <w:r w:rsidRPr="00D027B7">
        <w:rPr>
          <w:color w:val="000000"/>
        </w:rPr>
        <w:t xml:space="preserve"> ve </w:t>
      </w:r>
      <w:proofErr w:type="spellStart"/>
      <w:r w:rsidRPr="00D027B7">
        <w:rPr>
          <w:color w:val="000000"/>
        </w:rPr>
        <w:t>candida</w:t>
      </w:r>
      <w:proofErr w:type="spellEnd"/>
      <w:r w:rsidRPr="00D027B7">
        <w:rPr>
          <w:color w:val="000000"/>
        </w:rPr>
        <w:t xml:space="preserve"> </w:t>
      </w:r>
      <w:proofErr w:type="gramStart"/>
      <w:r w:rsidRPr="00D027B7">
        <w:rPr>
          <w:color w:val="000000"/>
        </w:rPr>
        <w:t>enfeksiyonlarının</w:t>
      </w:r>
      <w:proofErr w:type="gramEnd"/>
      <w:r w:rsidRPr="00D027B7">
        <w:rPr>
          <w:color w:val="000000"/>
        </w:rPr>
        <w:t xml:space="preserve"> </w:t>
      </w:r>
      <w:proofErr w:type="spellStart"/>
      <w:r w:rsidRPr="00D027B7">
        <w:rPr>
          <w:color w:val="000000"/>
        </w:rPr>
        <w:t>profilaksi</w:t>
      </w:r>
      <w:proofErr w:type="spellEnd"/>
      <w:r w:rsidRPr="00D027B7">
        <w:rPr>
          <w:color w:val="000000"/>
        </w:rPr>
        <w:t xml:space="preserve"> </w:t>
      </w:r>
      <w:proofErr w:type="spellStart"/>
      <w:r w:rsidRPr="00D027B7">
        <w:rPr>
          <w:color w:val="000000"/>
        </w:rPr>
        <w:t>endikasyonunda</w:t>
      </w:r>
      <w:proofErr w:type="spellEnd"/>
      <w:r w:rsidRPr="00D027B7">
        <w:rPr>
          <w:color w:val="000000"/>
        </w:rPr>
        <w:t xml:space="preserve"> da kullanılır.</w:t>
      </w:r>
    </w:p>
    <w:p w:rsidR="00D027B7" w:rsidRPr="00957401" w:rsidRDefault="00D027B7">
      <w:pPr>
        <w:rPr>
          <w:b/>
          <w:color w:val="000000"/>
        </w:rPr>
      </w:pPr>
      <w:r w:rsidRPr="00957401">
        <w:rPr>
          <w:b/>
          <w:color w:val="000000"/>
        </w:rPr>
        <w:t>4.2.29 - Kadın cinsiyet hormonları kullanım ilkeleri</w:t>
      </w:r>
    </w:p>
    <w:p w:rsidR="00D027B7" w:rsidRDefault="00D027B7">
      <w:pPr>
        <w:rPr>
          <w:color w:val="000000"/>
        </w:rPr>
      </w:pPr>
      <w:r>
        <w:rPr>
          <w:color w:val="000000"/>
        </w:rPr>
        <w:t>(2) Tek baş</w:t>
      </w:r>
      <w:r w:rsidRPr="00D027B7">
        <w:rPr>
          <w:color w:val="000000"/>
        </w:rPr>
        <w:t xml:space="preserve">ına </w:t>
      </w:r>
      <w:proofErr w:type="spellStart"/>
      <w:r w:rsidRPr="00D027B7">
        <w:rPr>
          <w:color w:val="000000"/>
        </w:rPr>
        <w:t>dienogest</w:t>
      </w:r>
      <w:proofErr w:type="spellEnd"/>
      <w:r w:rsidRPr="00D027B7">
        <w:rPr>
          <w:color w:val="000000"/>
        </w:rPr>
        <w:t xml:space="preserve"> etkin maddesi içeren ilaçlar kadın hastalıkları ve doğum uzman hekimlerince veya bu uzman hekimler tarafından düzenlenen uzman hekim raporuna dayanılarak tüm hekimlerce reçete edil</w:t>
      </w:r>
      <w:r>
        <w:rPr>
          <w:color w:val="000000"/>
        </w:rPr>
        <w:t>mesi halinde bedeli Kurumca karş</w:t>
      </w:r>
      <w:r w:rsidRPr="00D027B7">
        <w:rPr>
          <w:color w:val="000000"/>
        </w:rPr>
        <w:t>ılanır.</w:t>
      </w:r>
    </w:p>
    <w:p w:rsidR="00D027B7" w:rsidRDefault="00D027B7">
      <w:pPr>
        <w:rPr>
          <w:color w:val="000000"/>
        </w:rPr>
      </w:pPr>
      <w:r>
        <w:rPr>
          <w:color w:val="000000"/>
        </w:rPr>
        <w:t xml:space="preserve"> (3) Tek baş</w:t>
      </w:r>
      <w:r w:rsidRPr="00D027B7">
        <w:rPr>
          <w:color w:val="000000"/>
        </w:rPr>
        <w:t xml:space="preserve">ına </w:t>
      </w:r>
      <w:proofErr w:type="spellStart"/>
      <w:r w:rsidRPr="00D027B7">
        <w:rPr>
          <w:color w:val="000000"/>
        </w:rPr>
        <w:t>progesteron</w:t>
      </w:r>
      <w:proofErr w:type="spellEnd"/>
      <w:r w:rsidRPr="00D027B7">
        <w:rPr>
          <w:color w:val="000000"/>
        </w:rPr>
        <w:t xml:space="preserve"> etkin maddesi içeren ve </w:t>
      </w:r>
      <w:proofErr w:type="spellStart"/>
      <w:r w:rsidRPr="00D027B7">
        <w:rPr>
          <w:color w:val="000000"/>
        </w:rPr>
        <w:t>infertilite</w:t>
      </w:r>
      <w:proofErr w:type="spellEnd"/>
      <w:r w:rsidRPr="00D027B7">
        <w:rPr>
          <w:color w:val="000000"/>
        </w:rPr>
        <w:t xml:space="preserve"> tedavisi </w:t>
      </w:r>
      <w:proofErr w:type="spellStart"/>
      <w:r w:rsidRPr="00D027B7">
        <w:rPr>
          <w:color w:val="000000"/>
        </w:rPr>
        <w:t>endikasyonu</w:t>
      </w:r>
      <w:proofErr w:type="spellEnd"/>
      <w:r w:rsidRPr="00D027B7">
        <w:rPr>
          <w:color w:val="000000"/>
        </w:rPr>
        <w:t xml:space="preserve"> olan </w:t>
      </w:r>
      <w:proofErr w:type="spellStart"/>
      <w:r w:rsidRPr="00D027B7">
        <w:rPr>
          <w:color w:val="000000"/>
        </w:rPr>
        <w:t>topikal</w:t>
      </w:r>
      <w:proofErr w:type="spellEnd"/>
      <w:r w:rsidRPr="00D027B7">
        <w:rPr>
          <w:color w:val="000000"/>
        </w:rPr>
        <w:t xml:space="preserve"> ilaçlar kadın hastalıkları ve doğum uzman hekimlerince veya bu hekimlerce düzenlenen </w:t>
      </w:r>
      <w:proofErr w:type="gramStart"/>
      <w:r w:rsidRPr="00D027B7">
        <w:rPr>
          <w:color w:val="000000"/>
        </w:rPr>
        <w:t>prospektüs</w:t>
      </w:r>
      <w:proofErr w:type="gramEnd"/>
      <w:r w:rsidRPr="00D027B7">
        <w:rPr>
          <w:color w:val="000000"/>
        </w:rPr>
        <w:t xml:space="preserve"> </w:t>
      </w:r>
      <w:proofErr w:type="spellStart"/>
      <w:r w:rsidRPr="00D027B7">
        <w:rPr>
          <w:color w:val="000000"/>
        </w:rPr>
        <w:t>endikasyonlarıyla</w:t>
      </w:r>
      <w:proofErr w:type="spellEnd"/>
      <w:r w:rsidRPr="00D027B7">
        <w:rPr>
          <w:color w:val="000000"/>
        </w:rPr>
        <w:t xml:space="preserve"> uyumlu uzman hekim raporuna istinaden diğer hekimlerce reçete edilmesi halinde bedeli Kurumca </w:t>
      </w:r>
      <w:r>
        <w:rPr>
          <w:color w:val="000000"/>
        </w:rPr>
        <w:t>karş</w:t>
      </w:r>
      <w:r w:rsidRPr="00D027B7">
        <w:rPr>
          <w:color w:val="000000"/>
        </w:rPr>
        <w:t>ılanır.</w:t>
      </w:r>
    </w:p>
    <w:p w:rsidR="00184B83" w:rsidRDefault="00184B83" w:rsidP="00184B83">
      <w:pPr>
        <w:pStyle w:val="NormalWeb"/>
        <w:rPr>
          <w:rFonts w:asciiTheme="minorHAnsi" w:hAnsiTheme="minorHAnsi"/>
          <w:color w:val="000000"/>
          <w:sz w:val="22"/>
          <w:szCs w:val="22"/>
        </w:rPr>
      </w:pPr>
      <w:r w:rsidRPr="00184B83">
        <w:rPr>
          <w:rFonts w:asciiTheme="minorHAnsi" w:hAnsiTheme="minorHAnsi"/>
          <w:color w:val="000000"/>
          <w:sz w:val="22"/>
          <w:szCs w:val="22"/>
        </w:rPr>
        <w:t xml:space="preserve">15. </w:t>
      </w:r>
      <w:proofErr w:type="spellStart"/>
      <w:r w:rsidRPr="00C16D8F">
        <w:rPr>
          <w:rFonts w:asciiTheme="minorHAnsi" w:hAnsiTheme="minorHAnsi"/>
          <w:b/>
          <w:color w:val="000000"/>
          <w:sz w:val="22"/>
          <w:szCs w:val="22"/>
        </w:rPr>
        <w:t>Kontraseptifler</w:t>
      </w:r>
      <w:proofErr w:type="spellEnd"/>
      <w:r w:rsidRPr="00184B83">
        <w:rPr>
          <w:rFonts w:asciiTheme="minorHAnsi" w:hAnsiTheme="minorHAnsi"/>
          <w:color w:val="000000"/>
          <w:sz w:val="22"/>
          <w:szCs w:val="22"/>
        </w:rPr>
        <w:t xml:space="preserve"> (Prospektüsünde yer alan</w:t>
      </w:r>
      <w:r>
        <w:rPr>
          <w:rFonts w:asciiTheme="minorHAnsi" w:hAnsiTheme="minorHAnsi"/>
          <w:color w:val="000000"/>
          <w:sz w:val="22"/>
          <w:szCs w:val="22"/>
        </w:rPr>
        <w:t xml:space="preserve"> </w:t>
      </w:r>
      <w:proofErr w:type="spellStart"/>
      <w:r w:rsidRPr="00184B83">
        <w:rPr>
          <w:rFonts w:asciiTheme="minorHAnsi" w:hAnsiTheme="minorHAnsi"/>
          <w:color w:val="000000"/>
          <w:sz w:val="22"/>
          <w:szCs w:val="22"/>
        </w:rPr>
        <w:t>kontrasepsiyon</w:t>
      </w:r>
      <w:proofErr w:type="spellEnd"/>
      <w:r w:rsidRPr="00184B83">
        <w:rPr>
          <w:rFonts w:asciiTheme="minorHAnsi" w:hAnsiTheme="minorHAnsi"/>
          <w:color w:val="000000"/>
          <w:sz w:val="22"/>
          <w:szCs w:val="22"/>
        </w:rPr>
        <w:t xml:space="preserve"> </w:t>
      </w:r>
      <w:r>
        <w:rPr>
          <w:rFonts w:asciiTheme="minorHAnsi" w:hAnsiTheme="minorHAnsi"/>
          <w:color w:val="000000"/>
          <w:sz w:val="22"/>
          <w:szCs w:val="22"/>
        </w:rPr>
        <w:t>dış</w:t>
      </w:r>
      <w:r w:rsidRPr="00184B83">
        <w:rPr>
          <w:rFonts w:asciiTheme="minorHAnsi" w:hAnsiTheme="minorHAnsi"/>
          <w:color w:val="000000"/>
          <w:sz w:val="22"/>
          <w:szCs w:val="22"/>
        </w:rPr>
        <w:t xml:space="preserve">ındaki </w:t>
      </w:r>
      <w:proofErr w:type="spellStart"/>
      <w:r w:rsidRPr="00184B83">
        <w:rPr>
          <w:rFonts w:asciiTheme="minorHAnsi" w:hAnsiTheme="minorHAnsi"/>
          <w:color w:val="000000"/>
          <w:sz w:val="22"/>
          <w:szCs w:val="22"/>
        </w:rPr>
        <w:t>endikasyonlarında</w:t>
      </w:r>
      <w:proofErr w:type="spellEnd"/>
      <w:r w:rsidRPr="00184B83">
        <w:rPr>
          <w:rFonts w:asciiTheme="minorHAnsi" w:hAnsiTheme="minorHAnsi"/>
          <w:color w:val="000000"/>
          <w:sz w:val="22"/>
          <w:szCs w:val="22"/>
        </w:rPr>
        <w:t xml:space="preserve"> ödenir.) (</w:t>
      </w:r>
      <w:proofErr w:type="spellStart"/>
      <w:r w:rsidRPr="00184B83">
        <w:rPr>
          <w:rFonts w:asciiTheme="minorHAnsi" w:hAnsiTheme="minorHAnsi"/>
          <w:color w:val="000000"/>
          <w:sz w:val="22"/>
          <w:szCs w:val="22"/>
        </w:rPr>
        <w:t>Levonerjestrel</w:t>
      </w:r>
      <w:proofErr w:type="spellEnd"/>
      <w:r>
        <w:rPr>
          <w:rFonts w:asciiTheme="minorHAnsi" w:hAnsiTheme="minorHAnsi"/>
          <w:color w:val="000000"/>
          <w:sz w:val="22"/>
          <w:szCs w:val="22"/>
        </w:rPr>
        <w:t xml:space="preserve"> </w:t>
      </w:r>
      <w:r w:rsidRPr="00184B83">
        <w:rPr>
          <w:rFonts w:asciiTheme="minorHAnsi" w:hAnsiTheme="minorHAnsi"/>
          <w:color w:val="000000"/>
          <w:sz w:val="22"/>
          <w:szCs w:val="22"/>
        </w:rPr>
        <w:t xml:space="preserve">etkin maddeli ürünün anormal </w:t>
      </w:r>
      <w:proofErr w:type="spellStart"/>
      <w:r w:rsidRPr="00184B83">
        <w:rPr>
          <w:rFonts w:asciiTheme="minorHAnsi" w:hAnsiTheme="minorHAnsi"/>
          <w:color w:val="000000"/>
          <w:sz w:val="22"/>
          <w:szCs w:val="22"/>
        </w:rPr>
        <w:t>uterin</w:t>
      </w:r>
      <w:proofErr w:type="spellEnd"/>
      <w:r>
        <w:rPr>
          <w:rFonts w:asciiTheme="minorHAnsi" w:hAnsiTheme="minorHAnsi"/>
          <w:color w:val="000000"/>
          <w:sz w:val="22"/>
          <w:szCs w:val="22"/>
        </w:rPr>
        <w:t xml:space="preserve"> </w:t>
      </w:r>
      <w:r w:rsidRPr="00184B83">
        <w:rPr>
          <w:rFonts w:asciiTheme="minorHAnsi" w:hAnsiTheme="minorHAnsi"/>
          <w:color w:val="000000"/>
          <w:sz w:val="22"/>
          <w:szCs w:val="22"/>
        </w:rPr>
        <w:t>kanamalarda kullanımı öncesi,</w:t>
      </w:r>
      <w:r>
        <w:rPr>
          <w:rFonts w:asciiTheme="minorHAnsi" w:hAnsiTheme="minorHAnsi"/>
          <w:color w:val="000000"/>
          <w:sz w:val="22"/>
          <w:szCs w:val="22"/>
        </w:rPr>
        <w:t xml:space="preserve"> </w:t>
      </w:r>
      <w:proofErr w:type="spellStart"/>
      <w:r w:rsidRPr="00184B83">
        <w:rPr>
          <w:rFonts w:asciiTheme="minorHAnsi" w:hAnsiTheme="minorHAnsi"/>
          <w:color w:val="000000"/>
          <w:sz w:val="22"/>
          <w:szCs w:val="22"/>
        </w:rPr>
        <w:t>intrauterin</w:t>
      </w:r>
      <w:proofErr w:type="spellEnd"/>
      <w:r w:rsidRPr="00184B83">
        <w:rPr>
          <w:rFonts w:asciiTheme="minorHAnsi" w:hAnsiTheme="minorHAnsi"/>
          <w:color w:val="000000"/>
          <w:sz w:val="22"/>
          <w:szCs w:val="22"/>
        </w:rPr>
        <w:t xml:space="preserve"> organik patolojilerin</w:t>
      </w:r>
      <w:r>
        <w:rPr>
          <w:rFonts w:asciiTheme="minorHAnsi" w:hAnsiTheme="minorHAnsi"/>
          <w:color w:val="000000"/>
          <w:sz w:val="22"/>
          <w:szCs w:val="22"/>
        </w:rPr>
        <w:t xml:space="preserve"> </w:t>
      </w:r>
      <w:proofErr w:type="spellStart"/>
      <w:r w:rsidRPr="00184B83">
        <w:rPr>
          <w:rFonts w:asciiTheme="minorHAnsi" w:hAnsiTheme="minorHAnsi"/>
          <w:color w:val="000000"/>
          <w:sz w:val="22"/>
          <w:szCs w:val="22"/>
        </w:rPr>
        <w:t>ekartasyonu</w:t>
      </w:r>
      <w:proofErr w:type="spellEnd"/>
      <w:r w:rsidRPr="00184B83">
        <w:rPr>
          <w:rFonts w:asciiTheme="minorHAnsi" w:hAnsiTheme="minorHAnsi"/>
          <w:color w:val="000000"/>
          <w:sz w:val="22"/>
          <w:szCs w:val="22"/>
        </w:rPr>
        <w:t xml:space="preserve"> için ofis </w:t>
      </w:r>
      <w:proofErr w:type="spellStart"/>
      <w:r w:rsidRPr="00184B83">
        <w:rPr>
          <w:rFonts w:asciiTheme="minorHAnsi" w:hAnsiTheme="minorHAnsi"/>
          <w:color w:val="000000"/>
          <w:sz w:val="22"/>
          <w:szCs w:val="22"/>
        </w:rPr>
        <w:t>histeroskopi</w:t>
      </w:r>
      <w:proofErr w:type="spellEnd"/>
      <w:r w:rsidRPr="00184B83">
        <w:rPr>
          <w:rFonts w:asciiTheme="minorHAnsi" w:hAnsiTheme="minorHAnsi"/>
          <w:color w:val="000000"/>
          <w:sz w:val="22"/>
          <w:szCs w:val="22"/>
        </w:rPr>
        <w:t xml:space="preserve"> ya da</w:t>
      </w:r>
      <w:r>
        <w:rPr>
          <w:rFonts w:asciiTheme="minorHAnsi" w:hAnsiTheme="minorHAnsi"/>
          <w:color w:val="000000"/>
          <w:sz w:val="22"/>
          <w:szCs w:val="22"/>
        </w:rPr>
        <w:t xml:space="preserve"> </w:t>
      </w:r>
      <w:proofErr w:type="spellStart"/>
      <w:r>
        <w:rPr>
          <w:rFonts w:asciiTheme="minorHAnsi" w:hAnsiTheme="minorHAnsi"/>
          <w:color w:val="000000"/>
          <w:sz w:val="22"/>
          <w:szCs w:val="22"/>
        </w:rPr>
        <w:t>Salin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İnfüzyon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Sonografisi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Si</w:t>
      </w:r>
      <w:r w:rsidRPr="00184B83">
        <w:rPr>
          <w:rFonts w:asciiTheme="minorHAnsi" w:hAnsiTheme="minorHAnsi"/>
          <w:color w:val="000000"/>
          <w:sz w:val="22"/>
          <w:szCs w:val="22"/>
        </w:rPr>
        <w:t>S</w:t>
      </w:r>
      <w:proofErr w:type="spellEnd"/>
      <w:r w:rsidRPr="00184B83">
        <w:rPr>
          <w:rFonts w:asciiTheme="minorHAnsi" w:hAnsiTheme="minorHAnsi"/>
          <w:color w:val="000000"/>
          <w:sz w:val="22"/>
          <w:szCs w:val="22"/>
        </w:rPr>
        <w:t>)</w:t>
      </w:r>
      <w:r>
        <w:rPr>
          <w:rFonts w:asciiTheme="minorHAnsi" w:hAnsiTheme="minorHAnsi"/>
          <w:color w:val="000000"/>
          <w:sz w:val="22"/>
          <w:szCs w:val="22"/>
        </w:rPr>
        <w:t xml:space="preserve"> </w:t>
      </w:r>
      <w:r w:rsidRPr="00184B83">
        <w:rPr>
          <w:rFonts w:asciiTheme="minorHAnsi" w:hAnsiTheme="minorHAnsi"/>
          <w:color w:val="000000"/>
          <w:sz w:val="22"/>
          <w:szCs w:val="22"/>
        </w:rPr>
        <w:t>yapılması, kadın hastalıkları ve doğum</w:t>
      </w:r>
      <w:r>
        <w:rPr>
          <w:rFonts w:asciiTheme="minorHAnsi" w:hAnsiTheme="minorHAnsi"/>
          <w:color w:val="000000"/>
          <w:sz w:val="22"/>
          <w:szCs w:val="22"/>
        </w:rPr>
        <w:t xml:space="preserve"> </w:t>
      </w:r>
      <w:r w:rsidRPr="00184B83">
        <w:rPr>
          <w:rFonts w:asciiTheme="minorHAnsi" w:hAnsiTheme="minorHAnsi"/>
          <w:color w:val="000000"/>
          <w:sz w:val="22"/>
          <w:szCs w:val="22"/>
        </w:rPr>
        <w:t>uzman hekimi tarafından düzenlenen</w:t>
      </w:r>
      <w:r>
        <w:rPr>
          <w:rFonts w:asciiTheme="minorHAnsi" w:hAnsiTheme="minorHAnsi"/>
          <w:color w:val="000000"/>
          <w:sz w:val="22"/>
          <w:szCs w:val="22"/>
        </w:rPr>
        <w:t xml:space="preserve"> </w:t>
      </w:r>
      <w:r w:rsidRPr="00184B83">
        <w:rPr>
          <w:rFonts w:asciiTheme="minorHAnsi" w:hAnsiTheme="minorHAnsi"/>
          <w:color w:val="000000"/>
          <w:sz w:val="22"/>
          <w:szCs w:val="22"/>
        </w:rPr>
        <w:t>sağlık raporuna istinaden kadın</w:t>
      </w:r>
      <w:r>
        <w:rPr>
          <w:rFonts w:asciiTheme="minorHAnsi" w:hAnsiTheme="minorHAnsi"/>
          <w:color w:val="000000"/>
          <w:sz w:val="22"/>
          <w:szCs w:val="22"/>
        </w:rPr>
        <w:t xml:space="preserve"> </w:t>
      </w:r>
      <w:r w:rsidRPr="00184B83">
        <w:rPr>
          <w:rFonts w:asciiTheme="minorHAnsi" w:hAnsiTheme="minorHAnsi"/>
          <w:color w:val="000000"/>
          <w:sz w:val="22"/>
          <w:szCs w:val="22"/>
        </w:rPr>
        <w:t>hastalıkları ve doğum uzman</w:t>
      </w:r>
      <w:r>
        <w:rPr>
          <w:rFonts w:asciiTheme="minorHAnsi" w:hAnsiTheme="minorHAnsi"/>
          <w:color w:val="000000"/>
          <w:sz w:val="22"/>
          <w:szCs w:val="22"/>
        </w:rPr>
        <w:t xml:space="preserve"> </w:t>
      </w:r>
      <w:r w:rsidRPr="00184B83">
        <w:rPr>
          <w:rFonts w:asciiTheme="minorHAnsi" w:hAnsiTheme="minorHAnsi"/>
          <w:color w:val="000000"/>
          <w:sz w:val="22"/>
          <w:szCs w:val="22"/>
        </w:rPr>
        <w:t xml:space="preserve">hekimlerince uygulanması halinde bedeli </w:t>
      </w:r>
      <w:r>
        <w:rPr>
          <w:rFonts w:asciiTheme="minorHAnsi" w:hAnsiTheme="minorHAnsi"/>
          <w:color w:val="000000"/>
          <w:sz w:val="22"/>
          <w:szCs w:val="22"/>
        </w:rPr>
        <w:t>Kurumca karş</w:t>
      </w:r>
      <w:r w:rsidRPr="00184B83">
        <w:rPr>
          <w:rFonts w:asciiTheme="minorHAnsi" w:hAnsiTheme="minorHAnsi"/>
          <w:color w:val="000000"/>
          <w:sz w:val="22"/>
          <w:szCs w:val="22"/>
        </w:rPr>
        <w:t>ılanır.)</w:t>
      </w:r>
    </w:p>
    <w:p w:rsidR="0050702A" w:rsidRDefault="0050702A" w:rsidP="00184B83">
      <w:pPr>
        <w:pStyle w:val="NormalWeb"/>
        <w:rPr>
          <w:rFonts w:asciiTheme="minorHAnsi" w:hAnsiTheme="minorHAnsi"/>
          <w:color w:val="000000"/>
          <w:sz w:val="22"/>
          <w:szCs w:val="22"/>
        </w:rPr>
      </w:pPr>
      <w:r w:rsidRPr="0050702A">
        <w:rPr>
          <w:rFonts w:asciiTheme="minorHAnsi" w:hAnsiTheme="minorHAnsi"/>
          <w:color w:val="000000"/>
          <w:sz w:val="22"/>
          <w:szCs w:val="22"/>
        </w:rPr>
        <w:t xml:space="preserve">70. </w:t>
      </w:r>
      <w:proofErr w:type="spellStart"/>
      <w:r w:rsidRPr="0050702A">
        <w:rPr>
          <w:rFonts w:asciiTheme="minorHAnsi" w:hAnsiTheme="minorHAnsi"/>
          <w:color w:val="000000"/>
          <w:sz w:val="22"/>
          <w:szCs w:val="22"/>
        </w:rPr>
        <w:t>Levocarnitin</w:t>
      </w:r>
      <w:proofErr w:type="spellEnd"/>
      <w:r w:rsidR="00C16D8F">
        <w:rPr>
          <w:rFonts w:asciiTheme="minorHAnsi" w:hAnsiTheme="minorHAnsi"/>
          <w:color w:val="000000"/>
          <w:sz w:val="22"/>
          <w:szCs w:val="22"/>
        </w:rPr>
        <w:t xml:space="preserve"> </w:t>
      </w:r>
      <w:r w:rsidR="00C16D8F" w:rsidRPr="00C16D8F">
        <w:rPr>
          <w:rFonts w:asciiTheme="minorHAnsi" w:hAnsiTheme="minorHAnsi"/>
          <w:b/>
          <w:color w:val="000000"/>
          <w:sz w:val="22"/>
          <w:szCs w:val="22"/>
        </w:rPr>
        <w:t>(KARNİTİN, METOKARTİN)</w:t>
      </w:r>
      <w:r w:rsidRPr="0050702A">
        <w:rPr>
          <w:rFonts w:asciiTheme="minorHAnsi" w:hAnsiTheme="minorHAnsi"/>
          <w:color w:val="000000"/>
          <w:sz w:val="22"/>
          <w:szCs w:val="22"/>
        </w:rPr>
        <w:t xml:space="preserve">; ayaktan tedavilerde yalnızca 2. ve 3. basamak sağlık hizmeti sunucularında </w:t>
      </w:r>
      <w:proofErr w:type="spellStart"/>
      <w:r w:rsidRPr="0050702A">
        <w:rPr>
          <w:rFonts w:asciiTheme="minorHAnsi" w:hAnsiTheme="minorHAnsi"/>
          <w:color w:val="000000"/>
          <w:sz w:val="22"/>
          <w:szCs w:val="22"/>
        </w:rPr>
        <w:t>nefroloji</w:t>
      </w:r>
      <w:proofErr w:type="spellEnd"/>
      <w:r w:rsidRPr="0050702A">
        <w:rPr>
          <w:rFonts w:asciiTheme="minorHAnsi" w:hAnsiTheme="minorHAnsi"/>
          <w:color w:val="000000"/>
          <w:sz w:val="22"/>
          <w:szCs w:val="22"/>
        </w:rPr>
        <w:t xml:space="preserve">, endokrinoloji, nöroloji, kardiyoloji, çocuk metabolizma veya </w:t>
      </w:r>
      <w:r w:rsidRPr="0050702A">
        <w:rPr>
          <w:rFonts w:asciiTheme="minorHAnsi" w:hAnsiTheme="minorHAnsi"/>
          <w:b/>
          <w:color w:val="000000"/>
          <w:sz w:val="22"/>
          <w:szCs w:val="22"/>
        </w:rPr>
        <w:t>hemodiyaliz sertifikalı</w:t>
      </w:r>
      <w:r w:rsidRPr="0050702A">
        <w:rPr>
          <w:rFonts w:asciiTheme="minorHAnsi" w:hAnsiTheme="minorHAnsi"/>
          <w:color w:val="000000"/>
          <w:sz w:val="22"/>
          <w:szCs w:val="22"/>
        </w:rPr>
        <w:t xml:space="preserve"> iç hastalıkları uzman hekimlerinden birinin bulunduğu sağlık kurulu raporuna istinaden bu hekimlerce reçete edil</w:t>
      </w:r>
      <w:r>
        <w:rPr>
          <w:rFonts w:asciiTheme="minorHAnsi" w:hAnsiTheme="minorHAnsi"/>
          <w:color w:val="000000"/>
          <w:sz w:val="22"/>
          <w:szCs w:val="22"/>
        </w:rPr>
        <w:t>mesi halinde bedeli Kurumca karş</w:t>
      </w:r>
      <w:r w:rsidRPr="0050702A">
        <w:rPr>
          <w:rFonts w:asciiTheme="minorHAnsi" w:hAnsiTheme="minorHAnsi"/>
          <w:color w:val="000000"/>
          <w:sz w:val="22"/>
          <w:szCs w:val="22"/>
        </w:rPr>
        <w:t>ılanır.</w:t>
      </w:r>
    </w:p>
    <w:p w:rsidR="0050702A" w:rsidRDefault="0050702A" w:rsidP="00184B83">
      <w:pPr>
        <w:pStyle w:val="NormalWeb"/>
        <w:rPr>
          <w:rFonts w:asciiTheme="minorHAnsi" w:hAnsiTheme="minorHAnsi"/>
          <w:color w:val="000000"/>
          <w:sz w:val="22"/>
          <w:szCs w:val="22"/>
        </w:rPr>
      </w:pPr>
      <w:proofErr w:type="gramStart"/>
      <w:r w:rsidRPr="0050702A">
        <w:rPr>
          <w:rFonts w:asciiTheme="minorHAnsi" w:hAnsiTheme="minorHAnsi"/>
          <w:color w:val="000000"/>
          <w:sz w:val="22"/>
          <w:szCs w:val="22"/>
        </w:rPr>
        <w:t xml:space="preserve">71. </w:t>
      </w:r>
      <w:proofErr w:type="spellStart"/>
      <w:r w:rsidRPr="0050702A">
        <w:rPr>
          <w:rFonts w:asciiTheme="minorHAnsi" w:hAnsiTheme="minorHAnsi"/>
          <w:color w:val="000000"/>
          <w:sz w:val="22"/>
          <w:szCs w:val="22"/>
        </w:rPr>
        <w:t>Sapropterin</w:t>
      </w:r>
      <w:proofErr w:type="spellEnd"/>
      <w:r w:rsidRPr="0050702A">
        <w:rPr>
          <w:rFonts w:asciiTheme="minorHAnsi" w:hAnsiTheme="minorHAnsi"/>
          <w:color w:val="000000"/>
          <w:sz w:val="22"/>
          <w:szCs w:val="22"/>
        </w:rPr>
        <w:t xml:space="preserve"> </w:t>
      </w:r>
      <w:proofErr w:type="spellStart"/>
      <w:r w:rsidRPr="0050702A">
        <w:rPr>
          <w:rFonts w:asciiTheme="minorHAnsi" w:hAnsiTheme="minorHAnsi"/>
          <w:color w:val="000000"/>
          <w:sz w:val="22"/>
          <w:szCs w:val="22"/>
        </w:rPr>
        <w:t>dihidroklo</w:t>
      </w:r>
      <w:r>
        <w:rPr>
          <w:rFonts w:asciiTheme="minorHAnsi" w:hAnsiTheme="minorHAnsi"/>
          <w:color w:val="000000"/>
          <w:sz w:val="22"/>
          <w:szCs w:val="22"/>
        </w:rPr>
        <w:t>rür</w:t>
      </w:r>
      <w:proofErr w:type="spellEnd"/>
      <w:r w:rsidR="00C16D8F">
        <w:rPr>
          <w:rFonts w:asciiTheme="minorHAnsi" w:hAnsiTheme="minorHAnsi"/>
          <w:color w:val="000000"/>
          <w:sz w:val="22"/>
          <w:szCs w:val="22"/>
        </w:rPr>
        <w:t xml:space="preserve"> </w:t>
      </w:r>
      <w:r w:rsidR="00C16D8F" w:rsidRPr="00C16D8F">
        <w:rPr>
          <w:rFonts w:asciiTheme="minorHAnsi" w:hAnsiTheme="minorHAnsi"/>
          <w:b/>
          <w:color w:val="000000"/>
          <w:sz w:val="22"/>
          <w:szCs w:val="22"/>
        </w:rPr>
        <w:t>(DİTERİN, KUVAN)</w:t>
      </w:r>
      <w:r>
        <w:rPr>
          <w:rFonts w:asciiTheme="minorHAnsi" w:hAnsiTheme="minorHAnsi"/>
          <w:color w:val="000000"/>
          <w:sz w:val="22"/>
          <w:szCs w:val="22"/>
        </w:rPr>
        <w:t xml:space="preserve">; BH4 </w:t>
      </w:r>
      <w:proofErr w:type="spellStart"/>
      <w:r>
        <w:rPr>
          <w:rFonts w:asciiTheme="minorHAnsi" w:hAnsiTheme="minorHAnsi"/>
          <w:color w:val="000000"/>
          <w:sz w:val="22"/>
          <w:szCs w:val="22"/>
        </w:rPr>
        <w:t>yanıtlılık</w:t>
      </w:r>
      <w:proofErr w:type="spellEnd"/>
      <w:r>
        <w:rPr>
          <w:rFonts w:asciiTheme="minorHAnsi" w:hAnsiTheme="minorHAnsi"/>
          <w:color w:val="000000"/>
          <w:sz w:val="22"/>
          <w:szCs w:val="22"/>
        </w:rPr>
        <w:t xml:space="preserve"> testinde baş</w:t>
      </w:r>
      <w:r w:rsidRPr="0050702A">
        <w:rPr>
          <w:rFonts w:asciiTheme="minorHAnsi" w:hAnsiTheme="minorHAnsi"/>
          <w:color w:val="000000"/>
          <w:sz w:val="22"/>
          <w:szCs w:val="22"/>
        </w:rPr>
        <w:t xml:space="preserve">langıç </w:t>
      </w:r>
      <w:proofErr w:type="spellStart"/>
      <w:r w:rsidRPr="0050702A">
        <w:rPr>
          <w:rFonts w:asciiTheme="minorHAnsi" w:hAnsiTheme="minorHAnsi"/>
          <w:color w:val="000000"/>
          <w:sz w:val="22"/>
          <w:szCs w:val="22"/>
        </w:rPr>
        <w:t>fenilal</w:t>
      </w:r>
      <w:r>
        <w:rPr>
          <w:rFonts w:asciiTheme="minorHAnsi" w:hAnsiTheme="minorHAnsi"/>
          <w:color w:val="000000"/>
          <w:sz w:val="22"/>
          <w:szCs w:val="22"/>
        </w:rPr>
        <w:t>anin</w:t>
      </w:r>
      <w:proofErr w:type="spellEnd"/>
      <w:r>
        <w:rPr>
          <w:rFonts w:asciiTheme="minorHAnsi" w:hAnsiTheme="minorHAnsi"/>
          <w:color w:val="000000"/>
          <w:sz w:val="22"/>
          <w:szCs w:val="22"/>
        </w:rPr>
        <w:t xml:space="preserve"> düzeyine göre en az %30 düş</w:t>
      </w:r>
      <w:r w:rsidRPr="0050702A">
        <w:rPr>
          <w:rFonts w:asciiTheme="minorHAnsi" w:hAnsiTheme="minorHAnsi"/>
          <w:color w:val="000000"/>
          <w:sz w:val="22"/>
          <w:szCs w:val="22"/>
        </w:rPr>
        <w:t xml:space="preserve">me tespit edilen </w:t>
      </w:r>
      <w:proofErr w:type="spellStart"/>
      <w:r w:rsidRPr="0050702A">
        <w:rPr>
          <w:rFonts w:asciiTheme="minorHAnsi" w:hAnsiTheme="minorHAnsi"/>
          <w:color w:val="000000"/>
          <w:sz w:val="22"/>
          <w:szCs w:val="22"/>
        </w:rPr>
        <w:t>fenilketonürili</w:t>
      </w:r>
      <w:proofErr w:type="spellEnd"/>
      <w:r w:rsidRPr="0050702A">
        <w:rPr>
          <w:rFonts w:asciiTheme="minorHAnsi" w:hAnsiTheme="minorHAnsi"/>
          <w:color w:val="000000"/>
          <w:sz w:val="22"/>
          <w:szCs w:val="22"/>
        </w:rPr>
        <w:t xml:space="preserve"> hastaların veya </w:t>
      </w:r>
      <w:proofErr w:type="spellStart"/>
      <w:r w:rsidRPr="0050702A">
        <w:rPr>
          <w:rFonts w:asciiTheme="minorHAnsi" w:hAnsiTheme="minorHAnsi"/>
          <w:color w:val="000000"/>
          <w:sz w:val="22"/>
          <w:szCs w:val="22"/>
        </w:rPr>
        <w:t>tetrahidrobiopterin</w:t>
      </w:r>
      <w:proofErr w:type="spellEnd"/>
      <w:r w:rsidRPr="0050702A">
        <w:rPr>
          <w:rFonts w:asciiTheme="minorHAnsi" w:hAnsiTheme="minorHAnsi"/>
          <w:color w:val="000000"/>
          <w:sz w:val="22"/>
          <w:szCs w:val="22"/>
        </w:rPr>
        <w:t xml:space="preserve"> (BH4) metabolizması bozukluğu tanısı enzim düzeyi ölçülmek suret</w:t>
      </w:r>
      <w:r>
        <w:rPr>
          <w:rFonts w:asciiTheme="minorHAnsi" w:hAnsiTheme="minorHAnsi"/>
          <w:color w:val="000000"/>
          <w:sz w:val="22"/>
          <w:szCs w:val="22"/>
        </w:rPr>
        <w:t>iyle ya da genetik olarak konmuş</w:t>
      </w:r>
      <w:r w:rsidRPr="0050702A">
        <w:rPr>
          <w:rFonts w:asciiTheme="minorHAnsi" w:hAnsiTheme="minorHAnsi"/>
          <w:color w:val="000000"/>
          <w:sz w:val="22"/>
          <w:szCs w:val="22"/>
        </w:rPr>
        <w:t xml:space="preserve"> hastaların tedavisinde çocuk metabolizma hastalıkları uzman hekimleri tarafından düzenlenen 1 yıl süreli uzman hekim raporuna dayanılarak, çocuk metabolizma hastalıkları uzman hekimleri ile çocuk sağlığı ve hastalıkları uzman hekimlerince reçetelen</w:t>
      </w:r>
      <w:r>
        <w:rPr>
          <w:rFonts w:asciiTheme="minorHAnsi" w:hAnsiTheme="minorHAnsi"/>
          <w:color w:val="000000"/>
          <w:sz w:val="22"/>
          <w:szCs w:val="22"/>
        </w:rPr>
        <w:t>mesi halinde bedeli Kurumca karş</w:t>
      </w:r>
      <w:r w:rsidRPr="0050702A">
        <w:rPr>
          <w:rFonts w:asciiTheme="minorHAnsi" w:hAnsiTheme="minorHAnsi"/>
          <w:color w:val="000000"/>
          <w:sz w:val="22"/>
          <w:szCs w:val="22"/>
        </w:rPr>
        <w:t>ılanır.</w:t>
      </w:r>
      <w:proofErr w:type="gramEnd"/>
    </w:p>
    <w:p w:rsidR="00E443AD" w:rsidRDefault="00E443AD" w:rsidP="00184B83">
      <w:pPr>
        <w:pStyle w:val="NormalWeb"/>
        <w:rPr>
          <w:rFonts w:asciiTheme="minorHAnsi" w:hAnsiTheme="minorHAnsi"/>
          <w:color w:val="000000"/>
          <w:sz w:val="22"/>
          <w:szCs w:val="22"/>
        </w:rPr>
      </w:pPr>
    </w:p>
    <w:p w:rsidR="00E62AB9" w:rsidRPr="00957401" w:rsidRDefault="00E62AB9" w:rsidP="00E62AB9">
      <w:pPr>
        <w:rPr>
          <w:b/>
        </w:rPr>
      </w:pPr>
      <w:r w:rsidRPr="00957401">
        <w:rPr>
          <w:b/>
        </w:rPr>
        <w:lastRenderedPageBreak/>
        <w:t>4.1.4 ‘Reçetelere yazılabilecek ilaç miktarı’ maddesinde yapılan değişikliğe göre;</w:t>
      </w:r>
    </w:p>
    <w:p w:rsidR="00E62AB9" w:rsidRDefault="00E62AB9" w:rsidP="00E62AB9">
      <w:r>
        <w:t xml:space="preserve">(1) </w:t>
      </w:r>
      <w:proofErr w:type="spellStart"/>
      <w:r>
        <w:t>Majistraller</w:t>
      </w:r>
      <w:proofErr w:type="spellEnd"/>
      <w:r>
        <w:t xml:space="preserve"> sadece ilgili hekimlerin reçete etmesi durumunda bedeli karşılanır.</w:t>
      </w:r>
    </w:p>
    <w:p w:rsidR="00E62AB9" w:rsidRPr="00013EF1" w:rsidRDefault="00E62AB9" w:rsidP="00E62AB9">
      <w:pPr>
        <w:pStyle w:val="ListeParagraf"/>
        <w:numPr>
          <w:ilvl w:val="0"/>
          <w:numId w:val="1"/>
        </w:numPr>
        <w:rPr>
          <w:i/>
          <w:color w:val="FF0000"/>
        </w:rPr>
      </w:pPr>
      <w:r w:rsidRPr="00013EF1">
        <w:rPr>
          <w:i/>
          <w:color w:val="FF0000"/>
        </w:rPr>
        <w:t>İlgili hekim kime göre neye göre - kim olduğu belli değil.</w:t>
      </w:r>
    </w:p>
    <w:p w:rsidR="00E62AB9" w:rsidRPr="00013EF1" w:rsidRDefault="00E62AB9" w:rsidP="00E62AB9">
      <w:pPr>
        <w:pStyle w:val="ListeParagraf"/>
        <w:numPr>
          <w:ilvl w:val="0"/>
          <w:numId w:val="1"/>
        </w:numPr>
        <w:rPr>
          <w:i/>
          <w:color w:val="FF0000"/>
        </w:rPr>
      </w:pPr>
      <w:proofErr w:type="spellStart"/>
      <w:r w:rsidRPr="00013EF1">
        <w:rPr>
          <w:i/>
          <w:color w:val="FF0000"/>
        </w:rPr>
        <w:t>Majistralde</w:t>
      </w:r>
      <w:proofErr w:type="spellEnd"/>
      <w:r w:rsidRPr="00013EF1">
        <w:rPr>
          <w:i/>
          <w:color w:val="FF0000"/>
        </w:rPr>
        <w:t xml:space="preserve"> </w:t>
      </w:r>
      <w:proofErr w:type="spellStart"/>
      <w:r w:rsidRPr="00013EF1">
        <w:rPr>
          <w:i/>
          <w:color w:val="FF0000"/>
        </w:rPr>
        <w:t>antifungal</w:t>
      </w:r>
      <w:proofErr w:type="spellEnd"/>
      <w:r w:rsidRPr="00013EF1">
        <w:rPr>
          <w:i/>
          <w:color w:val="FF0000"/>
        </w:rPr>
        <w:t xml:space="preserve"> </w:t>
      </w:r>
      <w:r w:rsidR="000A2FF6" w:rsidRPr="00013EF1">
        <w:rPr>
          <w:i/>
          <w:color w:val="FF0000"/>
        </w:rPr>
        <w:t>2 kutudan fazla varsa ne olacak belli değil.</w:t>
      </w:r>
    </w:p>
    <w:p w:rsidR="00E62AB9" w:rsidRDefault="00E62AB9" w:rsidP="00E62AB9">
      <w:r>
        <w:t xml:space="preserve">(5) </w:t>
      </w:r>
      <w:proofErr w:type="spellStart"/>
      <w:r>
        <w:t>Topikal</w:t>
      </w:r>
      <w:proofErr w:type="spellEnd"/>
      <w:r>
        <w:t xml:space="preserve"> </w:t>
      </w:r>
      <w:proofErr w:type="spellStart"/>
      <w:r>
        <w:t>antifungaller</w:t>
      </w:r>
      <w:proofErr w:type="spellEnd"/>
      <w:r>
        <w:t xml:space="preserve"> bir reçetede en fazla 2 kutu yazılabilir. Tedavinin devamı gerekli ise, devam reçetesinin </w:t>
      </w:r>
      <w:proofErr w:type="spellStart"/>
      <w:r>
        <w:t>dermotoloji</w:t>
      </w:r>
      <w:proofErr w:type="spellEnd"/>
      <w:r>
        <w:t xml:space="preserve"> uzman hekimi tarafından düzenlenmesi halinde bedeli kurumca karşılanır.</w:t>
      </w:r>
    </w:p>
    <w:p w:rsidR="00E62AB9" w:rsidRPr="00013EF1" w:rsidRDefault="00E62AB9" w:rsidP="00E62AB9">
      <w:pPr>
        <w:pStyle w:val="ListeParagraf"/>
        <w:numPr>
          <w:ilvl w:val="0"/>
          <w:numId w:val="2"/>
        </w:numPr>
        <w:rPr>
          <w:i/>
          <w:color w:val="FF0000"/>
        </w:rPr>
      </w:pPr>
      <w:bookmarkStart w:id="0" w:name="_GoBack"/>
      <w:r w:rsidRPr="00013EF1">
        <w:rPr>
          <w:i/>
          <w:color w:val="FF0000"/>
        </w:rPr>
        <w:t>2 kutu tedavi sonrası devam tedavisi süresi ve şartları belli değil.</w:t>
      </w:r>
    </w:p>
    <w:p w:rsidR="00E62AB9" w:rsidRPr="00013EF1" w:rsidRDefault="00280BF4" w:rsidP="00E62AB9">
      <w:pPr>
        <w:pStyle w:val="ListeParagraf"/>
        <w:numPr>
          <w:ilvl w:val="0"/>
          <w:numId w:val="2"/>
        </w:numPr>
        <w:rPr>
          <w:i/>
          <w:color w:val="FF0000"/>
        </w:rPr>
      </w:pPr>
      <w:proofErr w:type="spellStart"/>
      <w:r w:rsidRPr="00013EF1">
        <w:rPr>
          <w:i/>
          <w:color w:val="FF0000"/>
        </w:rPr>
        <w:t>Medula</w:t>
      </w:r>
      <w:proofErr w:type="spellEnd"/>
      <w:r w:rsidRPr="00013EF1">
        <w:rPr>
          <w:i/>
          <w:color w:val="FF0000"/>
        </w:rPr>
        <w:t xml:space="preserve"> </w:t>
      </w:r>
      <w:r w:rsidR="00E62AB9" w:rsidRPr="00013EF1">
        <w:rPr>
          <w:i/>
          <w:color w:val="FF0000"/>
        </w:rPr>
        <w:t>Sistemin</w:t>
      </w:r>
      <w:r w:rsidRPr="00013EF1">
        <w:rPr>
          <w:i/>
          <w:color w:val="FF0000"/>
        </w:rPr>
        <w:t>in</w:t>
      </w:r>
      <w:r w:rsidR="00E62AB9" w:rsidRPr="00013EF1">
        <w:rPr>
          <w:i/>
          <w:color w:val="FF0000"/>
        </w:rPr>
        <w:t xml:space="preserve"> 2 kutuya düşürdüğü ilaçlar var, düşürmediği ilaçlar var. Şimdilik 2 kutudan fazla verilmemesine dikkat edilmeli.</w:t>
      </w:r>
    </w:p>
    <w:p w:rsidR="00E62AB9" w:rsidRPr="00013EF1" w:rsidRDefault="00280BF4" w:rsidP="00E62AB9">
      <w:pPr>
        <w:pStyle w:val="ListeParagraf"/>
        <w:numPr>
          <w:ilvl w:val="0"/>
          <w:numId w:val="2"/>
        </w:numPr>
        <w:rPr>
          <w:i/>
          <w:color w:val="FF0000"/>
        </w:rPr>
      </w:pPr>
      <w:r w:rsidRPr="00013EF1">
        <w:rPr>
          <w:i/>
          <w:color w:val="FF0000"/>
        </w:rPr>
        <w:t xml:space="preserve">Dermatoloji uzmanı tarafından2 kutudan fazla reçete edilirse verilecek mi belli değil – şimdilik 2 kutudan fazla verilmemesine dikkat </w:t>
      </w:r>
      <w:proofErr w:type="spellStart"/>
      <w:r w:rsidRPr="00013EF1">
        <w:rPr>
          <w:i/>
          <w:color w:val="FF0000"/>
        </w:rPr>
        <w:t>eilmeli</w:t>
      </w:r>
      <w:proofErr w:type="spellEnd"/>
      <w:r w:rsidRPr="00013EF1">
        <w:rPr>
          <w:i/>
          <w:color w:val="FF0000"/>
        </w:rPr>
        <w:t>.</w:t>
      </w:r>
    </w:p>
    <w:p w:rsidR="00280BF4" w:rsidRPr="00013EF1" w:rsidRDefault="00280BF4" w:rsidP="00E62AB9">
      <w:pPr>
        <w:pStyle w:val="ListeParagraf"/>
        <w:numPr>
          <w:ilvl w:val="0"/>
          <w:numId w:val="2"/>
        </w:numPr>
        <w:rPr>
          <w:i/>
          <w:color w:val="FF0000"/>
        </w:rPr>
      </w:pPr>
      <w:proofErr w:type="spellStart"/>
      <w:r w:rsidRPr="00013EF1">
        <w:rPr>
          <w:i/>
          <w:color w:val="FF0000"/>
        </w:rPr>
        <w:t>Topikal</w:t>
      </w:r>
      <w:proofErr w:type="spellEnd"/>
      <w:r w:rsidRPr="00013EF1">
        <w:rPr>
          <w:i/>
          <w:color w:val="FF0000"/>
        </w:rPr>
        <w:t xml:space="preserve"> </w:t>
      </w:r>
      <w:proofErr w:type="spellStart"/>
      <w:r w:rsidRPr="00013EF1">
        <w:rPr>
          <w:i/>
          <w:color w:val="FF0000"/>
        </w:rPr>
        <w:t>antifungaller</w:t>
      </w:r>
      <w:proofErr w:type="spellEnd"/>
      <w:r w:rsidRPr="00013EF1">
        <w:rPr>
          <w:i/>
          <w:color w:val="FF0000"/>
        </w:rPr>
        <w:t xml:space="preserve"> </w:t>
      </w:r>
      <w:proofErr w:type="spellStart"/>
      <w:r w:rsidRPr="00013EF1">
        <w:rPr>
          <w:i/>
          <w:color w:val="FF0000"/>
        </w:rPr>
        <w:t>Medula</w:t>
      </w:r>
      <w:proofErr w:type="spellEnd"/>
      <w:r w:rsidRPr="00013EF1">
        <w:rPr>
          <w:i/>
          <w:color w:val="FF0000"/>
        </w:rPr>
        <w:t xml:space="preserve"> Sistemine “367-topikal </w:t>
      </w:r>
      <w:proofErr w:type="spellStart"/>
      <w:r w:rsidRPr="00013EF1">
        <w:rPr>
          <w:i/>
          <w:color w:val="FF0000"/>
        </w:rPr>
        <w:t>antifungal</w:t>
      </w:r>
      <w:proofErr w:type="spellEnd"/>
      <w:r w:rsidRPr="00013EF1">
        <w:rPr>
          <w:i/>
          <w:color w:val="FF0000"/>
        </w:rPr>
        <w:t xml:space="preserve">” teşhis koduyla girilecek olup, ayrıca doktorun reçeteye </w:t>
      </w:r>
      <w:r w:rsidRPr="00013EF1">
        <w:rPr>
          <w:b/>
          <w:i/>
          <w:color w:val="FF0000"/>
        </w:rPr>
        <w:t>“</w:t>
      </w:r>
      <w:proofErr w:type="spellStart"/>
      <w:r w:rsidRPr="00013EF1">
        <w:rPr>
          <w:b/>
          <w:i/>
          <w:color w:val="FF0000"/>
        </w:rPr>
        <w:t>topikal</w:t>
      </w:r>
      <w:proofErr w:type="spellEnd"/>
      <w:r w:rsidRPr="00013EF1">
        <w:rPr>
          <w:b/>
          <w:i/>
          <w:color w:val="FF0000"/>
        </w:rPr>
        <w:t xml:space="preserve"> </w:t>
      </w:r>
      <w:proofErr w:type="spellStart"/>
      <w:r w:rsidRPr="00013EF1">
        <w:rPr>
          <w:b/>
          <w:i/>
          <w:color w:val="FF0000"/>
        </w:rPr>
        <w:t>antifungal</w:t>
      </w:r>
      <w:proofErr w:type="spellEnd"/>
      <w:r w:rsidRPr="00013EF1">
        <w:rPr>
          <w:b/>
          <w:i/>
          <w:color w:val="FF0000"/>
        </w:rPr>
        <w:t>”</w:t>
      </w:r>
      <w:r w:rsidRPr="00013EF1">
        <w:rPr>
          <w:i/>
          <w:color w:val="FF0000"/>
        </w:rPr>
        <w:t xml:space="preserve"> </w:t>
      </w:r>
      <w:r w:rsidRPr="00013EF1">
        <w:rPr>
          <w:b/>
          <w:i/>
          <w:color w:val="FF0000"/>
        </w:rPr>
        <w:t>teşhisi eklemesine gerek yoktur</w:t>
      </w:r>
      <w:r w:rsidRPr="00013EF1">
        <w:rPr>
          <w:i/>
          <w:color w:val="FF0000"/>
        </w:rPr>
        <w:t xml:space="preserve">. </w:t>
      </w:r>
    </w:p>
    <w:bookmarkEnd w:id="0"/>
    <w:p w:rsidR="00E62AB9" w:rsidRPr="00957401" w:rsidRDefault="00E62AB9" w:rsidP="00E62AB9">
      <w:pPr>
        <w:pStyle w:val="NormalWeb"/>
        <w:rPr>
          <w:rFonts w:asciiTheme="minorHAnsi" w:hAnsiTheme="minorHAnsi"/>
          <w:b/>
          <w:color w:val="000000"/>
          <w:sz w:val="22"/>
          <w:szCs w:val="22"/>
        </w:rPr>
      </w:pPr>
      <w:r w:rsidRPr="00957401">
        <w:rPr>
          <w:rFonts w:asciiTheme="minorHAnsi" w:hAnsiTheme="minorHAnsi"/>
          <w:b/>
          <w:color w:val="000000"/>
          <w:sz w:val="22"/>
          <w:szCs w:val="22"/>
        </w:rPr>
        <w:t xml:space="preserve">4.2.38 - Diyabet tedavisinde ilaç kullanım ilkeleri </w:t>
      </w:r>
    </w:p>
    <w:p w:rsidR="00317B04" w:rsidRDefault="00E62AB9" w:rsidP="00317B04">
      <w:pPr>
        <w:pStyle w:val="NormalWeb"/>
        <w:rPr>
          <w:rFonts w:asciiTheme="minorHAnsi" w:hAnsiTheme="minorHAnsi"/>
          <w:color w:val="000000"/>
          <w:sz w:val="22"/>
          <w:szCs w:val="22"/>
        </w:rPr>
      </w:pPr>
      <w:r w:rsidRPr="00D027B7">
        <w:rPr>
          <w:rFonts w:asciiTheme="minorHAnsi" w:hAnsiTheme="minorHAnsi"/>
          <w:color w:val="000000"/>
          <w:sz w:val="22"/>
          <w:szCs w:val="22"/>
        </w:rPr>
        <w:t xml:space="preserve">(4) DPP-4 </w:t>
      </w:r>
      <w:proofErr w:type="gramStart"/>
      <w:r w:rsidRPr="00D027B7">
        <w:rPr>
          <w:rFonts w:asciiTheme="minorHAnsi" w:hAnsiTheme="minorHAnsi"/>
          <w:color w:val="000000"/>
          <w:sz w:val="22"/>
          <w:szCs w:val="22"/>
        </w:rPr>
        <w:t>antagonistleri</w:t>
      </w:r>
      <w:proofErr w:type="gramEnd"/>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sitagliptin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(JANUVİA)</w:t>
      </w:r>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vildagliptin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(GALVUS)</w:t>
      </w:r>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saksagliptin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(ONGLYZA)</w:t>
      </w:r>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linagliptin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(TRAJENTA)</w:t>
      </w:r>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alogliptin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(VIPIDIA)</w:t>
      </w:r>
      <w:r w:rsidRPr="00D027B7">
        <w:rPr>
          <w:rFonts w:asciiTheme="minorHAnsi" w:hAnsiTheme="minorHAnsi"/>
          <w:color w:val="000000"/>
          <w:sz w:val="22"/>
          <w:szCs w:val="22"/>
        </w:rPr>
        <w:t xml:space="preserve">, DPP-4 antagonistlerinin diğer oral </w:t>
      </w:r>
      <w:proofErr w:type="spellStart"/>
      <w:r w:rsidRPr="00D027B7">
        <w:rPr>
          <w:rFonts w:asciiTheme="minorHAnsi" w:hAnsiTheme="minorHAnsi"/>
          <w:color w:val="000000"/>
          <w:sz w:val="22"/>
          <w:szCs w:val="22"/>
        </w:rPr>
        <w:t>antidiyabetiklerle</w:t>
      </w:r>
      <w:proofErr w:type="spellEnd"/>
      <w:r w:rsidRPr="00D027B7">
        <w:rPr>
          <w:rFonts w:asciiTheme="minorHAnsi" w:hAnsiTheme="minorHAnsi"/>
          <w:color w:val="000000"/>
          <w:sz w:val="22"/>
          <w:szCs w:val="22"/>
        </w:rPr>
        <w:t xml:space="preserve"> kombine </w:t>
      </w:r>
      <w:proofErr w:type="spellStart"/>
      <w:r w:rsidRPr="00D027B7">
        <w:rPr>
          <w:rFonts w:asciiTheme="minorHAnsi" w:hAnsiTheme="minorHAnsi"/>
          <w:color w:val="000000"/>
          <w:sz w:val="22"/>
          <w:szCs w:val="22"/>
        </w:rPr>
        <w:t>preperatları</w:t>
      </w:r>
      <w:proofErr w:type="spellEnd"/>
      <w:r w:rsidRPr="00D027B7">
        <w:rPr>
          <w:rFonts w:asciiTheme="minorHAnsi" w:hAnsiTheme="minorHAnsi"/>
          <w:color w:val="000000"/>
          <w:sz w:val="22"/>
          <w:szCs w:val="22"/>
        </w:rPr>
        <w:t xml:space="preserve">; </w:t>
      </w:r>
    </w:p>
    <w:p w:rsidR="00317B04" w:rsidRDefault="00E62AB9" w:rsidP="00317B04">
      <w:pPr>
        <w:pStyle w:val="NormalWeb"/>
        <w:numPr>
          <w:ilvl w:val="0"/>
          <w:numId w:val="3"/>
        </w:numPr>
        <w:rPr>
          <w:rFonts w:asciiTheme="minorHAnsi" w:hAnsiTheme="minorHAnsi"/>
          <w:color w:val="000000"/>
          <w:sz w:val="22"/>
          <w:szCs w:val="22"/>
        </w:rPr>
      </w:pPr>
      <w:proofErr w:type="spellStart"/>
      <w:r w:rsidRPr="00D027B7">
        <w:rPr>
          <w:rFonts w:asciiTheme="minorHAnsi" w:hAnsiTheme="minorHAnsi"/>
          <w:color w:val="000000"/>
          <w:sz w:val="22"/>
          <w:szCs w:val="22"/>
        </w:rPr>
        <w:t>metformin</w:t>
      </w:r>
      <w:proofErr w:type="spellEnd"/>
      <w:r w:rsidRPr="00D027B7">
        <w:rPr>
          <w:rFonts w:asciiTheme="minorHAnsi" w:hAnsiTheme="minorHAnsi"/>
          <w:color w:val="000000"/>
          <w:sz w:val="22"/>
          <w:szCs w:val="22"/>
        </w:rPr>
        <w:t xml:space="preserve"> ve/veya </w:t>
      </w:r>
      <w:proofErr w:type="spellStart"/>
      <w:r w:rsidRPr="00D027B7">
        <w:rPr>
          <w:rFonts w:asciiTheme="minorHAnsi" w:hAnsiTheme="minorHAnsi"/>
          <w:color w:val="000000"/>
          <w:sz w:val="22"/>
          <w:szCs w:val="22"/>
        </w:rPr>
        <w:t>sülfonilürelerin</w:t>
      </w:r>
      <w:proofErr w:type="spellEnd"/>
      <w:r w:rsidRPr="00D027B7">
        <w:rPr>
          <w:rFonts w:asciiTheme="minorHAnsi" w:hAnsiTheme="minorHAnsi"/>
          <w:color w:val="000000"/>
          <w:sz w:val="22"/>
          <w:szCs w:val="22"/>
        </w:rPr>
        <w:t xml:space="preserve"> maksimum </w:t>
      </w:r>
      <w:proofErr w:type="spellStart"/>
      <w:r w:rsidRPr="00D027B7">
        <w:rPr>
          <w:rFonts w:asciiTheme="minorHAnsi" w:hAnsiTheme="minorHAnsi"/>
          <w:color w:val="000000"/>
          <w:sz w:val="22"/>
          <w:szCs w:val="22"/>
        </w:rPr>
        <w:t>tolere</w:t>
      </w:r>
      <w:proofErr w:type="spellEnd"/>
      <w:r w:rsidRPr="00D027B7">
        <w:rPr>
          <w:rFonts w:asciiTheme="minorHAnsi" w:hAnsiTheme="minorHAnsi"/>
          <w:color w:val="000000"/>
          <w:sz w:val="22"/>
          <w:szCs w:val="22"/>
        </w:rPr>
        <w:t xml:space="preserve"> edilebilir dozlarında yeter</w:t>
      </w:r>
      <w:r>
        <w:rPr>
          <w:rFonts w:asciiTheme="minorHAnsi" w:hAnsiTheme="minorHAnsi"/>
          <w:color w:val="000000"/>
          <w:sz w:val="22"/>
          <w:szCs w:val="22"/>
        </w:rPr>
        <w:t xml:space="preserve">li </w:t>
      </w:r>
      <w:proofErr w:type="spellStart"/>
      <w:r>
        <w:rPr>
          <w:rFonts w:asciiTheme="minorHAnsi" w:hAnsiTheme="minorHAnsi"/>
          <w:color w:val="000000"/>
          <w:sz w:val="22"/>
          <w:szCs w:val="22"/>
        </w:rPr>
        <w:t>glisemik</w:t>
      </w:r>
      <w:proofErr w:type="spellEnd"/>
      <w:r>
        <w:rPr>
          <w:rFonts w:asciiTheme="minorHAnsi" w:hAnsiTheme="minorHAnsi"/>
          <w:color w:val="000000"/>
          <w:sz w:val="22"/>
          <w:szCs w:val="22"/>
        </w:rPr>
        <w:t xml:space="preserve"> kontrol sağlanamamış</w:t>
      </w:r>
      <w:r w:rsidRPr="00D027B7">
        <w:rPr>
          <w:rFonts w:asciiTheme="minorHAnsi" w:hAnsiTheme="minorHAnsi"/>
          <w:color w:val="000000"/>
          <w:sz w:val="22"/>
          <w:szCs w:val="22"/>
        </w:rPr>
        <w:t xml:space="preserve"> hastalarda; endokrinoloji uzman hekimleri ile iç hastalıkları uzman hekimlerince veya bu hekimlerce düzenlenen uzman hekim raporu ile tüm hekimlerce reçete edilebilir</w:t>
      </w:r>
      <w:r>
        <w:rPr>
          <w:rFonts w:asciiTheme="minorHAnsi" w:hAnsiTheme="minorHAnsi"/>
          <w:color w:val="000000"/>
          <w:sz w:val="22"/>
          <w:szCs w:val="22"/>
        </w:rPr>
        <w:t xml:space="preserve">. </w:t>
      </w:r>
    </w:p>
    <w:p w:rsidR="00E62AB9" w:rsidRDefault="00E62AB9" w:rsidP="00317B04">
      <w:pPr>
        <w:pStyle w:val="NormalWeb"/>
        <w:numPr>
          <w:ilvl w:val="0"/>
          <w:numId w:val="3"/>
        </w:numPr>
        <w:rPr>
          <w:rFonts w:asciiTheme="minorHAnsi" w:hAnsiTheme="minorHAnsi"/>
          <w:color w:val="000000"/>
          <w:sz w:val="22"/>
          <w:szCs w:val="22"/>
        </w:rPr>
      </w:pPr>
      <w:proofErr w:type="spellStart"/>
      <w:r>
        <w:rPr>
          <w:rFonts w:asciiTheme="minorHAnsi" w:hAnsiTheme="minorHAnsi"/>
          <w:color w:val="000000"/>
          <w:sz w:val="22"/>
          <w:szCs w:val="22"/>
        </w:rPr>
        <w:t>Saksagliptini</w:t>
      </w:r>
      <w:proofErr w:type="spellEnd"/>
      <w:r>
        <w:rPr>
          <w:rFonts w:asciiTheme="minorHAnsi" w:hAnsiTheme="minorHAnsi"/>
          <w:color w:val="000000"/>
          <w:sz w:val="22"/>
          <w:szCs w:val="22"/>
        </w:rPr>
        <w:t xml:space="preserve"> tek baş</w:t>
      </w:r>
      <w:r w:rsidRPr="00D027B7">
        <w:rPr>
          <w:rFonts w:asciiTheme="minorHAnsi" w:hAnsiTheme="minorHAnsi"/>
          <w:color w:val="000000"/>
          <w:sz w:val="22"/>
          <w:szCs w:val="22"/>
        </w:rPr>
        <w:t>ına içeren 2,5 mg.’</w:t>
      </w:r>
      <w:proofErr w:type="spellStart"/>
      <w:r w:rsidRPr="00D027B7">
        <w:rPr>
          <w:rFonts w:asciiTheme="minorHAnsi" w:hAnsiTheme="minorHAnsi"/>
          <w:color w:val="000000"/>
          <w:sz w:val="22"/>
          <w:szCs w:val="22"/>
        </w:rPr>
        <w:t>lık</w:t>
      </w:r>
      <w:proofErr w:type="spellEnd"/>
      <w:r w:rsidRPr="00D027B7">
        <w:rPr>
          <w:rFonts w:asciiTheme="minorHAnsi" w:hAnsiTheme="minorHAnsi"/>
          <w:color w:val="000000"/>
          <w:sz w:val="22"/>
          <w:szCs w:val="22"/>
        </w:rPr>
        <w:t xml:space="preserve"> formları günlük en fazla 2,5 </w:t>
      </w:r>
      <w:r>
        <w:rPr>
          <w:rFonts w:asciiTheme="minorHAnsi" w:hAnsiTheme="minorHAnsi"/>
          <w:color w:val="000000"/>
          <w:sz w:val="22"/>
          <w:szCs w:val="22"/>
        </w:rPr>
        <w:t xml:space="preserve">mg. dozunda, </w:t>
      </w:r>
      <w:proofErr w:type="spellStart"/>
      <w:r>
        <w:rPr>
          <w:rFonts w:asciiTheme="minorHAnsi" w:hAnsiTheme="minorHAnsi"/>
          <w:color w:val="000000"/>
          <w:sz w:val="22"/>
          <w:szCs w:val="22"/>
        </w:rPr>
        <w:t>alogliptini</w:t>
      </w:r>
      <w:proofErr w:type="spellEnd"/>
      <w:r>
        <w:rPr>
          <w:rFonts w:asciiTheme="minorHAnsi" w:hAnsiTheme="minorHAnsi"/>
          <w:color w:val="000000"/>
          <w:sz w:val="22"/>
          <w:szCs w:val="22"/>
        </w:rPr>
        <w:t xml:space="preserve"> tek baş</w:t>
      </w:r>
      <w:r w:rsidRPr="00D027B7">
        <w:rPr>
          <w:rFonts w:asciiTheme="minorHAnsi" w:hAnsiTheme="minorHAnsi"/>
          <w:color w:val="000000"/>
          <w:sz w:val="22"/>
          <w:szCs w:val="22"/>
        </w:rPr>
        <w:t>ına içeren 12,5 mg.’</w:t>
      </w:r>
      <w:proofErr w:type="spellStart"/>
      <w:r w:rsidRPr="00D027B7">
        <w:rPr>
          <w:rFonts w:asciiTheme="minorHAnsi" w:hAnsiTheme="minorHAnsi"/>
          <w:color w:val="000000"/>
          <w:sz w:val="22"/>
          <w:szCs w:val="22"/>
        </w:rPr>
        <w:t>lık</w:t>
      </w:r>
      <w:proofErr w:type="spellEnd"/>
      <w:r w:rsidRPr="00D027B7">
        <w:rPr>
          <w:rFonts w:asciiTheme="minorHAnsi" w:hAnsiTheme="minorHAnsi"/>
          <w:color w:val="000000"/>
          <w:sz w:val="22"/>
          <w:szCs w:val="22"/>
        </w:rPr>
        <w:t xml:space="preserve"> formları günlük en fazla 12,5 mg. dozunda yalnızca kronik böbrek yetmezliği hastalarında kullanılabilir.</w:t>
      </w:r>
    </w:p>
    <w:p w:rsidR="00317B04" w:rsidRDefault="00E62AB9" w:rsidP="00E62AB9">
      <w:pPr>
        <w:pStyle w:val="NormalWeb"/>
        <w:rPr>
          <w:rFonts w:asciiTheme="minorHAnsi" w:hAnsiTheme="minorHAnsi"/>
          <w:color w:val="000000"/>
          <w:sz w:val="22"/>
          <w:szCs w:val="22"/>
        </w:rPr>
      </w:pPr>
      <w:r w:rsidRPr="00D027B7">
        <w:rPr>
          <w:rFonts w:asciiTheme="minorHAnsi" w:hAnsiTheme="minorHAnsi"/>
          <w:color w:val="000000"/>
          <w:sz w:val="22"/>
          <w:szCs w:val="22"/>
        </w:rPr>
        <w:t>(6) Sodyum-</w:t>
      </w:r>
      <w:proofErr w:type="spellStart"/>
      <w:r w:rsidRPr="00D027B7">
        <w:rPr>
          <w:rFonts w:asciiTheme="minorHAnsi" w:hAnsiTheme="minorHAnsi"/>
          <w:color w:val="000000"/>
          <w:sz w:val="22"/>
          <w:szCs w:val="22"/>
        </w:rPr>
        <w:t>glukoz</w:t>
      </w:r>
      <w:proofErr w:type="spellEnd"/>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ko-transporter</w:t>
      </w:r>
      <w:proofErr w:type="spellEnd"/>
      <w:r w:rsidRPr="00D027B7">
        <w:rPr>
          <w:rFonts w:asciiTheme="minorHAnsi" w:hAnsiTheme="minorHAnsi"/>
          <w:color w:val="000000"/>
          <w:sz w:val="22"/>
          <w:szCs w:val="22"/>
        </w:rPr>
        <w:t xml:space="preserve"> 2 (SGLT2) inhibitörleri (</w:t>
      </w:r>
      <w:proofErr w:type="spellStart"/>
      <w:r w:rsidRPr="00D027B7">
        <w:rPr>
          <w:rFonts w:asciiTheme="minorHAnsi" w:hAnsiTheme="minorHAnsi"/>
          <w:color w:val="000000"/>
          <w:sz w:val="22"/>
          <w:szCs w:val="22"/>
        </w:rPr>
        <w:t>dapagliflozin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(FORZIGA)</w:t>
      </w:r>
      <w:r w:rsidRPr="00D027B7">
        <w:rPr>
          <w:rFonts w:asciiTheme="minorHAnsi" w:hAnsiTheme="minorHAnsi"/>
          <w:color w:val="000000"/>
          <w:sz w:val="22"/>
          <w:szCs w:val="22"/>
        </w:rPr>
        <w:t xml:space="preserve">, </w:t>
      </w:r>
      <w:proofErr w:type="spellStart"/>
      <w:r w:rsidRPr="00D027B7">
        <w:rPr>
          <w:rFonts w:asciiTheme="minorHAnsi" w:hAnsiTheme="minorHAnsi"/>
          <w:color w:val="000000"/>
          <w:sz w:val="22"/>
          <w:szCs w:val="22"/>
        </w:rPr>
        <w:t>empagliflozin</w:t>
      </w:r>
      <w:proofErr w:type="spellEnd"/>
      <w:r>
        <w:rPr>
          <w:rFonts w:asciiTheme="minorHAnsi" w:hAnsiTheme="minorHAnsi"/>
          <w:color w:val="000000"/>
          <w:sz w:val="22"/>
          <w:szCs w:val="22"/>
        </w:rPr>
        <w:t xml:space="preserve"> </w:t>
      </w:r>
      <w:r w:rsidRPr="008C6436">
        <w:rPr>
          <w:rFonts w:asciiTheme="minorHAnsi" w:hAnsiTheme="minorHAnsi"/>
          <w:b/>
          <w:color w:val="000000"/>
          <w:sz w:val="22"/>
          <w:szCs w:val="22"/>
        </w:rPr>
        <w:t>(JARDİANCE)</w:t>
      </w:r>
      <w:r w:rsidRPr="00D027B7">
        <w:rPr>
          <w:rFonts w:asciiTheme="minorHAnsi" w:hAnsiTheme="minorHAnsi"/>
          <w:color w:val="000000"/>
          <w:sz w:val="22"/>
          <w:szCs w:val="22"/>
        </w:rPr>
        <w:t xml:space="preserve">; </w:t>
      </w:r>
    </w:p>
    <w:p w:rsidR="00E62AB9" w:rsidRDefault="00E62AB9" w:rsidP="00317B04">
      <w:pPr>
        <w:pStyle w:val="NormalWeb"/>
        <w:numPr>
          <w:ilvl w:val="0"/>
          <w:numId w:val="4"/>
        </w:numPr>
        <w:rPr>
          <w:rFonts w:asciiTheme="minorHAnsi" w:hAnsiTheme="minorHAnsi"/>
          <w:color w:val="000000"/>
          <w:sz w:val="22"/>
          <w:szCs w:val="22"/>
        </w:rPr>
      </w:pPr>
      <w:proofErr w:type="spellStart"/>
      <w:r w:rsidRPr="00D027B7">
        <w:rPr>
          <w:rFonts w:asciiTheme="minorHAnsi" w:hAnsiTheme="minorHAnsi"/>
          <w:color w:val="000000"/>
          <w:sz w:val="22"/>
          <w:szCs w:val="22"/>
        </w:rPr>
        <w:t>metformin</w:t>
      </w:r>
      <w:proofErr w:type="spellEnd"/>
      <w:r w:rsidRPr="00D027B7">
        <w:rPr>
          <w:rFonts w:asciiTheme="minorHAnsi" w:hAnsiTheme="minorHAnsi"/>
          <w:color w:val="000000"/>
          <w:sz w:val="22"/>
          <w:szCs w:val="22"/>
        </w:rPr>
        <w:t xml:space="preserve"> ve/veya </w:t>
      </w:r>
      <w:proofErr w:type="spellStart"/>
      <w:r w:rsidRPr="00D027B7">
        <w:rPr>
          <w:rFonts w:asciiTheme="minorHAnsi" w:hAnsiTheme="minorHAnsi"/>
          <w:color w:val="000000"/>
          <w:sz w:val="22"/>
          <w:szCs w:val="22"/>
        </w:rPr>
        <w:t>sülfonilürelerin</w:t>
      </w:r>
      <w:proofErr w:type="spellEnd"/>
      <w:r w:rsidRPr="00D027B7">
        <w:rPr>
          <w:rFonts w:asciiTheme="minorHAnsi" w:hAnsiTheme="minorHAnsi"/>
          <w:color w:val="000000"/>
          <w:sz w:val="22"/>
          <w:szCs w:val="22"/>
        </w:rPr>
        <w:t xml:space="preserve"> maksimum </w:t>
      </w:r>
      <w:proofErr w:type="spellStart"/>
      <w:r w:rsidRPr="00D027B7">
        <w:rPr>
          <w:rFonts w:asciiTheme="minorHAnsi" w:hAnsiTheme="minorHAnsi"/>
          <w:color w:val="000000"/>
          <w:sz w:val="22"/>
          <w:szCs w:val="22"/>
        </w:rPr>
        <w:t>tolere</w:t>
      </w:r>
      <w:proofErr w:type="spellEnd"/>
      <w:r w:rsidRPr="00D027B7">
        <w:rPr>
          <w:rFonts w:asciiTheme="minorHAnsi" w:hAnsiTheme="minorHAnsi"/>
          <w:color w:val="000000"/>
          <w:sz w:val="22"/>
          <w:szCs w:val="22"/>
        </w:rPr>
        <w:t xml:space="preserve"> edilebilir dozlarında yeter</w:t>
      </w:r>
      <w:r>
        <w:rPr>
          <w:rFonts w:asciiTheme="minorHAnsi" w:hAnsiTheme="minorHAnsi"/>
          <w:color w:val="000000"/>
          <w:sz w:val="22"/>
          <w:szCs w:val="22"/>
        </w:rPr>
        <w:t xml:space="preserve">li </w:t>
      </w:r>
      <w:proofErr w:type="spellStart"/>
      <w:r>
        <w:rPr>
          <w:rFonts w:asciiTheme="minorHAnsi" w:hAnsiTheme="minorHAnsi"/>
          <w:color w:val="000000"/>
          <w:sz w:val="22"/>
          <w:szCs w:val="22"/>
        </w:rPr>
        <w:t>glisemik</w:t>
      </w:r>
      <w:proofErr w:type="spellEnd"/>
      <w:r>
        <w:rPr>
          <w:rFonts w:asciiTheme="minorHAnsi" w:hAnsiTheme="minorHAnsi"/>
          <w:color w:val="000000"/>
          <w:sz w:val="22"/>
          <w:szCs w:val="22"/>
        </w:rPr>
        <w:t xml:space="preserve"> kontrol sağlanamamış</w:t>
      </w:r>
      <w:r w:rsidRPr="00D027B7">
        <w:rPr>
          <w:rFonts w:asciiTheme="minorHAnsi" w:hAnsiTheme="minorHAnsi"/>
          <w:color w:val="000000"/>
          <w:sz w:val="22"/>
          <w:szCs w:val="22"/>
        </w:rPr>
        <w:t xml:space="preserve"> hastalarda, </w:t>
      </w:r>
      <w:r w:rsidRPr="00317B04">
        <w:rPr>
          <w:rFonts w:asciiTheme="minorHAnsi" w:hAnsiTheme="minorHAnsi"/>
          <w:b/>
          <w:sz w:val="22"/>
          <w:szCs w:val="22"/>
        </w:rPr>
        <w:t>endokrinoloji</w:t>
      </w:r>
      <w:r w:rsidRPr="00D027B7">
        <w:rPr>
          <w:rFonts w:asciiTheme="minorHAnsi" w:hAnsiTheme="minorHAnsi"/>
          <w:color w:val="000000"/>
          <w:sz w:val="22"/>
          <w:szCs w:val="22"/>
        </w:rPr>
        <w:t xml:space="preserve"> uzman hekimlerince düzenlenen uzman hekim raporu ile tüm hekimlerce reçete edilebilir.</w:t>
      </w:r>
    </w:p>
    <w:p w:rsidR="00317B04" w:rsidRDefault="00317B04" w:rsidP="00317B04">
      <w:pPr>
        <w:pStyle w:val="NormalWeb"/>
        <w:rPr>
          <w:rFonts w:asciiTheme="minorHAnsi" w:hAnsiTheme="minorHAnsi"/>
          <w:color w:val="000000"/>
          <w:sz w:val="22"/>
          <w:szCs w:val="22"/>
        </w:rPr>
      </w:pPr>
    </w:p>
    <w:p w:rsidR="00317B04" w:rsidRPr="000A2FF6" w:rsidRDefault="00BA1F2C" w:rsidP="00317B04">
      <w:pPr>
        <w:pStyle w:val="NormalWeb"/>
        <w:rPr>
          <w:rFonts w:asciiTheme="minorHAnsi" w:hAnsiTheme="minorHAnsi"/>
          <w:b/>
          <w:i/>
          <w:color w:val="000000"/>
          <w:sz w:val="22"/>
          <w:szCs w:val="22"/>
        </w:rPr>
      </w:pPr>
      <w:r w:rsidRPr="000A2FF6">
        <w:rPr>
          <w:rFonts w:asciiTheme="minorHAnsi" w:hAnsiTheme="minorHAnsi"/>
          <w:b/>
          <w:i/>
          <w:color w:val="000000"/>
          <w:sz w:val="22"/>
          <w:szCs w:val="22"/>
        </w:rPr>
        <w:t xml:space="preserve">(Eski raporlar, SUT değişikliği olması </w:t>
      </w:r>
      <w:proofErr w:type="gramStart"/>
      <w:r w:rsidRPr="000A2FF6">
        <w:rPr>
          <w:rFonts w:asciiTheme="minorHAnsi" w:hAnsiTheme="minorHAnsi"/>
          <w:b/>
          <w:i/>
          <w:color w:val="000000"/>
          <w:sz w:val="22"/>
          <w:szCs w:val="22"/>
        </w:rPr>
        <w:t xml:space="preserve">halinde  </w:t>
      </w:r>
      <w:proofErr w:type="spellStart"/>
      <w:r w:rsidRPr="000A2FF6">
        <w:rPr>
          <w:rFonts w:asciiTheme="minorHAnsi" w:hAnsiTheme="minorHAnsi"/>
          <w:b/>
          <w:i/>
          <w:color w:val="000000"/>
          <w:sz w:val="22"/>
          <w:szCs w:val="22"/>
        </w:rPr>
        <w:t>SUT’un</w:t>
      </w:r>
      <w:proofErr w:type="spellEnd"/>
      <w:proofErr w:type="gramEnd"/>
      <w:r w:rsidRPr="000A2FF6">
        <w:rPr>
          <w:rFonts w:asciiTheme="minorHAnsi" w:hAnsiTheme="minorHAnsi"/>
          <w:b/>
          <w:i/>
          <w:color w:val="000000"/>
          <w:sz w:val="22"/>
          <w:szCs w:val="22"/>
        </w:rPr>
        <w:t xml:space="preserve"> yeni hükümlerine uygun olması kaydıyla süresi sonuna kadar geçerlidir. </w:t>
      </w:r>
      <w:proofErr w:type="spellStart"/>
      <w:r w:rsidRPr="000A2FF6">
        <w:rPr>
          <w:rFonts w:asciiTheme="minorHAnsi" w:hAnsiTheme="minorHAnsi"/>
          <w:b/>
          <w:i/>
          <w:color w:val="000000"/>
          <w:sz w:val="22"/>
          <w:szCs w:val="22"/>
        </w:rPr>
        <w:t>SUT’un</w:t>
      </w:r>
      <w:proofErr w:type="spellEnd"/>
      <w:r w:rsidRPr="000A2FF6">
        <w:rPr>
          <w:rFonts w:asciiTheme="minorHAnsi" w:hAnsiTheme="minorHAnsi"/>
          <w:b/>
          <w:i/>
          <w:color w:val="000000"/>
          <w:sz w:val="22"/>
          <w:szCs w:val="22"/>
        </w:rPr>
        <w:t xml:space="preserve"> yeni hükümlerine uygun olmayan raporlar aksi açıklama gelene kadar geçerli kabul edilmemektedir.</w:t>
      </w:r>
      <w:proofErr w:type="gramStart"/>
      <w:r w:rsidRPr="000A2FF6">
        <w:rPr>
          <w:rFonts w:asciiTheme="minorHAnsi" w:hAnsiTheme="minorHAnsi"/>
          <w:b/>
          <w:i/>
          <w:color w:val="000000"/>
          <w:sz w:val="22"/>
          <w:szCs w:val="22"/>
        </w:rPr>
        <w:t>)</w:t>
      </w:r>
      <w:proofErr w:type="gramEnd"/>
      <w:r w:rsidRPr="000A2FF6">
        <w:rPr>
          <w:rFonts w:asciiTheme="minorHAnsi" w:hAnsiTheme="minorHAnsi"/>
          <w:b/>
          <w:i/>
          <w:color w:val="000000"/>
          <w:sz w:val="22"/>
          <w:szCs w:val="22"/>
        </w:rPr>
        <w:t xml:space="preserve"> </w:t>
      </w:r>
    </w:p>
    <w:p w:rsidR="00E62AB9" w:rsidRDefault="00E62AB9" w:rsidP="00E62AB9"/>
    <w:p w:rsidR="00E62AB9" w:rsidRDefault="00E62AB9" w:rsidP="00184B83">
      <w:pPr>
        <w:pStyle w:val="NormalWeb"/>
        <w:rPr>
          <w:rFonts w:asciiTheme="minorHAnsi" w:hAnsiTheme="minorHAnsi"/>
          <w:color w:val="000000"/>
          <w:sz w:val="22"/>
          <w:szCs w:val="22"/>
        </w:rPr>
      </w:pPr>
    </w:p>
    <w:p w:rsidR="0050702A" w:rsidRPr="0050702A" w:rsidRDefault="0050702A" w:rsidP="00184B83">
      <w:pPr>
        <w:pStyle w:val="NormalWeb"/>
        <w:rPr>
          <w:rFonts w:asciiTheme="minorHAnsi" w:hAnsiTheme="minorHAnsi"/>
          <w:color w:val="000000"/>
          <w:sz w:val="22"/>
          <w:szCs w:val="22"/>
        </w:rPr>
      </w:pPr>
    </w:p>
    <w:p w:rsidR="00D027B7" w:rsidRPr="00D027B7" w:rsidRDefault="00D027B7">
      <w:pPr>
        <w:rPr>
          <w:color w:val="000000"/>
        </w:rPr>
      </w:pPr>
    </w:p>
    <w:sectPr w:rsidR="00D027B7" w:rsidRPr="00D027B7" w:rsidSect="00AE41F9">
      <w:pgSz w:w="11906" w:h="16838"/>
      <w:pgMar w:top="426" w:right="282"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A2" w:rsidRDefault="000939A2" w:rsidP="002831F1">
      <w:pPr>
        <w:spacing w:after="0" w:line="240" w:lineRule="auto"/>
      </w:pPr>
      <w:r>
        <w:separator/>
      </w:r>
    </w:p>
  </w:endnote>
  <w:endnote w:type="continuationSeparator" w:id="0">
    <w:p w:rsidR="000939A2" w:rsidRDefault="000939A2" w:rsidP="0028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A2" w:rsidRDefault="000939A2" w:rsidP="002831F1">
      <w:pPr>
        <w:spacing w:after="0" w:line="240" w:lineRule="auto"/>
      </w:pPr>
      <w:r>
        <w:separator/>
      </w:r>
    </w:p>
  </w:footnote>
  <w:footnote w:type="continuationSeparator" w:id="0">
    <w:p w:rsidR="000939A2" w:rsidRDefault="000939A2" w:rsidP="00283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642"/>
    <w:multiLevelType w:val="hybridMultilevel"/>
    <w:tmpl w:val="35848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D67B2"/>
    <w:multiLevelType w:val="hybridMultilevel"/>
    <w:tmpl w:val="ADC00F7C"/>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
    <w:nsid w:val="2FBD2EEA"/>
    <w:multiLevelType w:val="hybridMultilevel"/>
    <w:tmpl w:val="0E985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652FA9"/>
    <w:multiLevelType w:val="hybridMultilevel"/>
    <w:tmpl w:val="39001246"/>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0F84"/>
    <w:rsid w:val="00013EF1"/>
    <w:rsid w:val="00045E6F"/>
    <w:rsid w:val="000939A2"/>
    <w:rsid w:val="000A2FF6"/>
    <w:rsid w:val="00184B83"/>
    <w:rsid w:val="001D26F3"/>
    <w:rsid w:val="00280BF4"/>
    <w:rsid w:val="002831F1"/>
    <w:rsid w:val="00317B04"/>
    <w:rsid w:val="003D3FD2"/>
    <w:rsid w:val="0050702A"/>
    <w:rsid w:val="00547193"/>
    <w:rsid w:val="0055579A"/>
    <w:rsid w:val="005A58D4"/>
    <w:rsid w:val="005D73C1"/>
    <w:rsid w:val="007C3115"/>
    <w:rsid w:val="008B0F84"/>
    <w:rsid w:val="008C6436"/>
    <w:rsid w:val="00957401"/>
    <w:rsid w:val="00A50553"/>
    <w:rsid w:val="00AA1E71"/>
    <w:rsid w:val="00AE41F9"/>
    <w:rsid w:val="00B106D3"/>
    <w:rsid w:val="00B649C9"/>
    <w:rsid w:val="00BA1F2C"/>
    <w:rsid w:val="00BD67E0"/>
    <w:rsid w:val="00C16D8F"/>
    <w:rsid w:val="00C25CEC"/>
    <w:rsid w:val="00D027B7"/>
    <w:rsid w:val="00D64A38"/>
    <w:rsid w:val="00D8575C"/>
    <w:rsid w:val="00D87008"/>
    <w:rsid w:val="00E242E6"/>
    <w:rsid w:val="00E32F3C"/>
    <w:rsid w:val="00E443AD"/>
    <w:rsid w:val="00E62AB9"/>
    <w:rsid w:val="00E63BFF"/>
    <w:rsid w:val="00F20D5D"/>
    <w:rsid w:val="00F547E1"/>
    <w:rsid w:val="00FA4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1E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A58D4"/>
    <w:pPr>
      <w:ind w:left="720"/>
      <w:contextualSpacing/>
    </w:pPr>
  </w:style>
  <w:style w:type="paragraph" w:styleId="stbilgi">
    <w:name w:val="header"/>
    <w:basedOn w:val="Normal"/>
    <w:link w:val="stbilgiChar"/>
    <w:uiPriority w:val="99"/>
    <w:semiHidden/>
    <w:unhideWhenUsed/>
    <w:rsid w:val="002831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31F1"/>
  </w:style>
  <w:style w:type="paragraph" w:styleId="Altbilgi">
    <w:name w:val="footer"/>
    <w:basedOn w:val="Normal"/>
    <w:link w:val="AltbilgiChar"/>
    <w:uiPriority w:val="99"/>
    <w:semiHidden/>
    <w:unhideWhenUsed/>
    <w:rsid w:val="002831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3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473">
      <w:bodyDiv w:val="1"/>
      <w:marLeft w:val="0"/>
      <w:marRight w:val="0"/>
      <w:marTop w:val="0"/>
      <w:marBottom w:val="0"/>
      <w:divBdr>
        <w:top w:val="none" w:sz="0" w:space="0" w:color="auto"/>
        <w:left w:val="none" w:sz="0" w:space="0" w:color="auto"/>
        <w:bottom w:val="none" w:sz="0" w:space="0" w:color="auto"/>
        <w:right w:val="none" w:sz="0" w:space="0" w:color="auto"/>
      </w:divBdr>
    </w:div>
    <w:div w:id="688141010">
      <w:bodyDiv w:val="1"/>
      <w:marLeft w:val="0"/>
      <w:marRight w:val="0"/>
      <w:marTop w:val="0"/>
      <w:marBottom w:val="0"/>
      <w:divBdr>
        <w:top w:val="none" w:sz="0" w:space="0" w:color="auto"/>
        <w:left w:val="none" w:sz="0" w:space="0" w:color="auto"/>
        <w:bottom w:val="none" w:sz="0" w:space="0" w:color="auto"/>
        <w:right w:val="none" w:sz="0" w:space="0" w:color="auto"/>
      </w:divBdr>
    </w:div>
    <w:div w:id="1659117823">
      <w:bodyDiv w:val="1"/>
      <w:marLeft w:val="0"/>
      <w:marRight w:val="0"/>
      <w:marTop w:val="0"/>
      <w:marBottom w:val="0"/>
      <w:divBdr>
        <w:top w:val="none" w:sz="0" w:space="0" w:color="auto"/>
        <w:left w:val="none" w:sz="0" w:space="0" w:color="auto"/>
        <w:bottom w:val="none" w:sz="0" w:space="0" w:color="auto"/>
        <w:right w:val="none" w:sz="0" w:space="0" w:color="auto"/>
      </w:divBdr>
    </w:div>
    <w:div w:id="18152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6</Pages>
  <Words>3091</Words>
  <Characters>17620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Windows Kullanıcısı</cp:lastModifiedBy>
  <cp:revision>11</cp:revision>
  <dcterms:created xsi:type="dcterms:W3CDTF">2018-03-23T11:01:00Z</dcterms:created>
  <dcterms:modified xsi:type="dcterms:W3CDTF">2018-04-03T14:01:00Z</dcterms:modified>
</cp:coreProperties>
</file>